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88028C">
      <w:pPr>
        <w:rPr>
          <w:rFonts w:ascii="Times New Roman" w:hAnsi="Times New Roman"/>
          <w:b/>
          <w:sz w:val="24"/>
          <w:u w:val="single"/>
        </w:rPr>
      </w:pPr>
      <w:r>
        <w:rPr>
          <w:rFonts w:ascii="Times New Roman" w:hAnsi="Times New Roman"/>
          <w:b/>
          <w:sz w:val="24"/>
          <w:szCs w:val="24"/>
          <w:u w:val="single"/>
        </w:rPr>
        <w:t>DEPARTMENT OF ENVIRONMENTAL QUALITY</w:t>
      </w:r>
      <w:r w:rsidR="00DB143A">
        <w:rPr>
          <w:rFonts w:ascii="Times New Roman" w:hAnsi="Times New Roman"/>
          <w:b/>
          <w:sz w:val="24"/>
          <w:szCs w:val="24"/>
          <w:u w:val="single"/>
        </w:rPr>
        <w:t>, WATER DIVISION</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88028C">
        <w:rPr>
          <w:rFonts w:ascii="Times New Roman" w:hAnsi="Times New Roman"/>
          <w:sz w:val="24"/>
        </w:rPr>
        <w:t>Regulation No. 2</w:t>
      </w:r>
      <w:r w:rsidR="002849B1">
        <w:rPr>
          <w:rFonts w:ascii="Times New Roman" w:hAnsi="Times New Roman"/>
          <w:sz w:val="24"/>
        </w:rPr>
        <w:t>,</w:t>
      </w:r>
      <w:r w:rsidR="00E51CFF">
        <w:rPr>
          <w:rFonts w:ascii="Times New Roman" w:hAnsi="Times New Roman"/>
          <w:sz w:val="24"/>
        </w:rPr>
        <w:t xml:space="preserve"> Water Quality Standards; Third Party Rulemaking by Alcoa, Inc.</w:t>
      </w:r>
    </w:p>
    <w:p w:rsidR="008963BC" w:rsidRDefault="008963BC">
      <w:pPr>
        <w:ind w:left="720" w:hanging="720"/>
        <w:rPr>
          <w:rFonts w:ascii="Times New Roman" w:hAnsi="Times New Roman"/>
          <w:sz w:val="24"/>
        </w:rPr>
      </w:pPr>
    </w:p>
    <w:p w:rsidR="00EF66E2" w:rsidRDefault="0054191D" w:rsidP="00EF66E2">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05F32">
        <w:rPr>
          <w:rFonts w:ascii="Times New Roman" w:hAnsi="Times New Roman"/>
          <w:sz w:val="24"/>
        </w:rPr>
        <w:t>Alcoa, Inc. is requ</w:t>
      </w:r>
      <w:r w:rsidR="007C61F9">
        <w:rPr>
          <w:rFonts w:ascii="Times New Roman" w:hAnsi="Times New Roman"/>
          <w:sz w:val="24"/>
        </w:rPr>
        <w:t>esting</w:t>
      </w:r>
      <w:r w:rsidR="00605F32">
        <w:rPr>
          <w:rFonts w:ascii="Times New Roman" w:hAnsi="Times New Roman"/>
          <w:sz w:val="24"/>
        </w:rPr>
        <w:t xml:space="preserve"> an amendment to Regulation No. 2 to temporarily modify the chronic water quality standard for selenium in Holly Creek (Saline County) during implementation of an Environmental Improvement Project (EIP) authorized by Ark. Code Ann. § 8-5-901 et seq. and by APCEC Regulation No. 2, § 2.105 and Appendix B, required by Alcoa’s NPDES Permit and approved by the ADEQ.  Alcoa is not seeking a change in what are current and historical water quality conditions in Holly Creek; rather it seeks a temporary change in the chronic water quality standard for selenium from 5 ug/l to 17 ug/l as it carries out the EIP.  The selenium concentrations in Holly Creek are believed to represent historical conditions and not a recent change in stream conditions.</w:t>
      </w:r>
    </w:p>
    <w:p w:rsidR="00EF66E2" w:rsidRDefault="00EF66E2" w:rsidP="00EF66E2">
      <w:pPr>
        <w:ind w:left="720"/>
        <w:rPr>
          <w:rFonts w:ascii="Times New Roman" w:hAnsi="Times New Roman"/>
          <w:b/>
          <w:sz w:val="24"/>
          <w:u w:val="single"/>
        </w:rPr>
      </w:pPr>
    </w:p>
    <w:p w:rsidR="00041D8A" w:rsidRDefault="0054191D" w:rsidP="00EF66E2">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41D8A">
        <w:rPr>
          <w:rFonts w:ascii="Times New Roman" w:hAnsi="Times New Roman"/>
          <w:sz w:val="24"/>
        </w:rPr>
        <w:t xml:space="preserve">A public hearing was held on November 18, 2010 in Bauxite, AR.  The public comment period expired on December 6, 2010.  </w:t>
      </w:r>
      <w:r w:rsidR="00602A03">
        <w:rPr>
          <w:rFonts w:ascii="Times New Roman" w:hAnsi="Times New Roman"/>
          <w:sz w:val="24"/>
        </w:rPr>
        <w:t xml:space="preserve">There were no </w:t>
      </w:r>
      <w:r w:rsidR="00D12A71">
        <w:rPr>
          <w:rFonts w:ascii="Times New Roman" w:hAnsi="Times New Roman"/>
          <w:sz w:val="24"/>
        </w:rPr>
        <w:t>p</w:t>
      </w:r>
      <w:r w:rsidR="00041D8A">
        <w:rPr>
          <w:rFonts w:ascii="Times New Roman" w:hAnsi="Times New Roman"/>
          <w:sz w:val="24"/>
        </w:rPr>
        <w:t>ublic comments</w:t>
      </w:r>
      <w:r w:rsidR="00602A03">
        <w:rPr>
          <w:rFonts w:ascii="Times New Roman" w:hAnsi="Times New Roman"/>
          <w:sz w:val="24"/>
        </w:rPr>
        <w:t xml:space="preserve">.  </w:t>
      </w:r>
      <w:r w:rsidR="00041D8A">
        <w:rPr>
          <w:rFonts w:ascii="Times New Roman" w:hAnsi="Times New Roman"/>
          <w:sz w:val="24"/>
        </w:rPr>
        <w:t>The regulation becomes effective twenty (20) days after filing of the final regulation as adopted by the Commission with the Secretary of State.</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1B5CFF">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1B5CFF">
        <w:rPr>
          <w:rFonts w:ascii="Times New Roman" w:hAnsi="Times New Roman"/>
          <w:sz w:val="24"/>
        </w:rPr>
        <w:t>There is no financial impact and there is no impact on small businesses.</w:t>
      </w:r>
    </w:p>
    <w:p w:rsidR="001B5CFF" w:rsidRDefault="001B5CFF">
      <w:pPr>
        <w:ind w:left="720"/>
        <w:rPr>
          <w:rFonts w:ascii="Times New Roman" w:hAnsi="Times New Roman"/>
          <w:sz w:val="24"/>
        </w:rPr>
      </w:pPr>
    </w:p>
    <w:p w:rsidR="00EF66E2" w:rsidRDefault="00EF66E2" w:rsidP="00EF66E2">
      <w:pPr>
        <w:ind w:left="720"/>
        <w:rPr>
          <w:rFonts w:ascii="Times New Roman" w:hAnsi="Times New Roman"/>
          <w:b/>
          <w:sz w:val="24"/>
          <w:u w:val="single"/>
        </w:rPr>
      </w:pPr>
      <w:r w:rsidRPr="00386082">
        <w:rPr>
          <w:rFonts w:ascii="Times New Roman" w:hAnsi="Times New Roman"/>
          <w:b/>
          <w:sz w:val="24"/>
          <w:u w:val="single"/>
        </w:rPr>
        <w:t>Economic Impact Statement</w:t>
      </w:r>
    </w:p>
    <w:p w:rsidR="00EF66E2" w:rsidRDefault="00EF66E2" w:rsidP="00EF66E2">
      <w:pPr>
        <w:ind w:left="720"/>
        <w:rPr>
          <w:rFonts w:ascii="Times New Roman" w:hAnsi="Times New Roman"/>
          <w:b/>
          <w:sz w:val="24"/>
          <w:u w:val="single"/>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w:t>
      </w:r>
      <w:r w:rsidRPr="00043E0B">
        <w:rPr>
          <w:rFonts w:ascii="Times New Roman" w:hAnsi="Times New Roman"/>
          <w:b/>
          <w:sz w:val="24"/>
        </w:rPr>
        <w:tab/>
        <w:t>Explain the need for the proposed changes.  Did any complaints motivate you to pursue regulatory action?  If so, please explain the nature of such complain</w:t>
      </w:r>
      <w:r w:rsidR="00A70217" w:rsidRPr="00043E0B">
        <w:rPr>
          <w:rFonts w:ascii="Times New Roman" w:hAnsi="Times New Roman"/>
          <w:b/>
          <w:sz w:val="24"/>
        </w:rPr>
        <w:t>t</w:t>
      </w:r>
      <w:r w:rsidRPr="00043E0B">
        <w:rPr>
          <w:rFonts w:ascii="Times New Roman" w:hAnsi="Times New Roman"/>
          <w:b/>
          <w:sz w:val="24"/>
        </w:rPr>
        <w:t>s.</w:t>
      </w:r>
    </w:p>
    <w:p w:rsidR="004169A3" w:rsidRPr="00043E0B" w:rsidRDefault="004169A3" w:rsidP="00EF66E2">
      <w:pPr>
        <w:ind w:left="720"/>
        <w:rPr>
          <w:rFonts w:ascii="Times New Roman" w:hAnsi="Times New Roman"/>
          <w:b/>
          <w:sz w:val="24"/>
        </w:rPr>
      </w:pPr>
    </w:p>
    <w:p w:rsidR="0031719D" w:rsidRDefault="0031719D" w:rsidP="00EF66E2">
      <w:pPr>
        <w:ind w:left="720"/>
        <w:rPr>
          <w:rFonts w:ascii="Times New Roman" w:hAnsi="Times New Roman"/>
          <w:sz w:val="24"/>
        </w:rPr>
      </w:pPr>
      <w:r>
        <w:rPr>
          <w:rFonts w:ascii="Times New Roman" w:hAnsi="Times New Roman"/>
          <w:sz w:val="24"/>
        </w:rPr>
        <w:t>Alcoa seeks to have the chronic selenium standard set forth in APC&amp;E Regulation No. 2 modified from 5 ug/l to 17 ug/l in Holly Creek in Saline County during the term of an Environmental Improvement Project (EIP).  The EIP is authorized by Ark. Code Ann. § 8-5-901 et seq. a</w:t>
      </w:r>
      <w:r w:rsidR="00A70217">
        <w:rPr>
          <w:rFonts w:ascii="Times New Roman" w:hAnsi="Times New Roman"/>
          <w:sz w:val="24"/>
        </w:rPr>
        <w:t>nd APCEC Regulation No. 2, § 2.</w:t>
      </w:r>
      <w:r>
        <w:rPr>
          <w:rFonts w:ascii="Times New Roman" w:hAnsi="Times New Roman"/>
          <w:sz w:val="24"/>
        </w:rPr>
        <w:t>105 and Appendix B and is required by Alcoa’s current NPDES permit.  This is needed to reflect actual and historic conditions while Alcoa carries out the EIP to find economically and technically feasible treatment technologies or source reduction strategies to reduce selenium in Alcoa’s discharge to meet the chronic water quality standard.  No complaints motivated Alcoa to seek amendment to this rule.</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2.</w:t>
      </w:r>
      <w:r w:rsidRPr="00043E0B">
        <w:rPr>
          <w:rFonts w:ascii="Times New Roman" w:hAnsi="Times New Roman"/>
          <w:b/>
          <w:sz w:val="24"/>
        </w:rPr>
        <w:tab/>
        <w:t xml:space="preserve">What are the top three benefits of the proposed rule? </w:t>
      </w:r>
    </w:p>
    <w:p w:rsidR="0031719D" w:rsidRDefault="0031719D" w:rsidP="00EF66E2">
      <w:pPr>
        <w:ind w:left="720"/>
        <w:rPr>
          <w:rFonts w:ascii="Times New Roman" w:hAnsi="Times New Roman"/>
          <w:sz w:val="24"/>
        </w:rPr>
      </w:pPr>
    </w:p>
    <w:p w:rsidR="0031719D" w:rsidRDefault="0031719D" w:rsidP="00EF66E2">
      <w:pPr>
        <w:ind w:left="720"/>
        <w:rPr>
          <w:rFonts w:ascii="Times New Roman" w:hAnsi="Times New Roman"/>
          <w:sz w:val="24"/>
        </w:rPr>
      </w:pPr>
      <w:r>
        <w:rPr>
          <w:rFonts w:ascii="Times New Roman" w:hAnsi="Times New Roman"/>
          <w:sz w:val="24"/>
        </w:rPr>
        <w:t>1</w:t>
      </w:r>
      <w:r w:rsidR="004169A3">
        <w:rPr>
          <w:rFonts w:ascii="Times New Roman" w:hAnsi="Times New Roman"/>
          <w:sz w:val="24"/>
        </w:rPr>
        <w:t>)</w:t>
      </w:r>
      <w:r>
        <w:rPr>
          <w:rFonts w:ascii="Times New Roman" w:hAnsi="Times New Roman"/>
          <w:sz w:val="24"/>
        </w:rPr>
        <w:tab/>
        <w:t>Compliance by Alcoa with the terms of its NPDES permit limits.</w:t>
      </w:r>
    </w:p>
    <w:p w:rsidR="0031719D" w:rsidRDefault="004169A3" w:rsidP="00EF66E2">
      <w:pPr>
        <w:ind w:left="720"/>
        <w:rPr>
          <w:rFonts w:ascii="Times New Roman" w:hAnsi="Times New Roman"/>
          <w:sz w:val="24"/>
        </w:rPr>
      </w:pPr>
      <w:r>
        <w:rPr>
          <w:rFonts w:ascii="Times New Roman" w:hAnsi="Times New Roman"/>
          <w:sz w:val="24"/>
        </w:rPr>
        <w:t>2)</w:t>
      </w:r>
      <w:r w:rsidR="0031719D">
        <w:rPr>
          <w:rFonts w:ascii="Times New Roman" w:hAnsi="Times New Roman"/>
          <w:sz w:val="24"/>
        </w:rPr>
        <w:tab/>
        <w:t>Revised water quality standards which reflect actual conditions.</w:t>
      </w:r>
    </w:p>
    <w:p w:rsidR="004169A3" w:rsidRDefault="004169A3" w:rsidP="00EF66E2">
      <w:pPr>
        <w:ind w:left="720"/>
        <w:rPr>
          <w:rFonts w:ascii="Times New Roman" w:hAnsi="Times New Roman"/>
          <w:sz w:val="24"/>
        </w:rPr>
      </w:pPr>
      <w:r>
        <w:rPr>
          <w:rFonts w:ascii="Times New Roman" w:hAnsi="Times New Roman"/>
          <w:sz w:val="24"/>
        </w:rPr>
        <w:t>3)</w:t>
      </w:r>
      <w:r>
        <w:rPr>
          <w:rFonts w:ascii="Times New Roman" w:hAnsi="Times New Roman"/>
          <w:sz w:val="24"/>
        </w:rPr>
        <w:tab/>
        <w:t>Continued protection of the designated and attainable uses of the receiving stream.</w:t>
      </w:r>
    </w:p>
    <w:p w:rsidR="0031719D" w:rsidRDefault="0031719D" w:rsidP="00EF66E2">
      <w:pPr>
        <w:ind w:left="720"/>
        <w:rPr>
          <w:rFonts w:ascii="Times New Roman" w:hAnsi="Times New Roman"/>
          <w:sz w:val="24"/>
        </w:rPr>
      </w:pP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lastRenderedPageBreak/>
        <w:t>3.</w:t>
      </w:r>
      <w:r w:rsidRPr="00043E0B">
        <w:rPr>
          <w:rFonts w:ascii="Times New Roman" w:hAnsi="Times New Roman"/>
          <w:b/>
          <w:sz w:val="24"/>
        </w:rPr>
        <w:tab/>
        <w:t xml:space="preserve">What would be the consequence of taking no action, thereby maintaining the status quo?  </w:t>
      </w:r>
      <w:r w:rsidR="004169A3" w:rsidRPr="00043E0B">
        <w:rPr>
          <w:rFonts w:ascii="Times New Roman" w:hAnsi="Times New Roman"/>
          <w:b/>
          <w:sz w:val="24"/>
        </w:rPr>
        <w:t xml:space="preserve"> </w:t>
      </w:r>
    </w:p>
    <w:p w:rsidR="004169A3" w:rsidRPr="00043E0B" w:rsidRDefault="004169A3" w:rsidP="00EF66E2">
      <w:pPr>
        <w:ind w:left="720"/>
        <w:rPr>
          <w:rFonts w:ascii="Times New Roman" w:hAnsi="Times New Roman"/>
          <w:b/>
          <w:sz w:val="24"/>
        </w:rPr>
      </w:pPr>
    </w:p>
    <w:p w:rsidR="004169A3" w:rsidRDefault="004169A3" w:rsidP="00EF66E2">
      <w:pPr>
        <w:ind w:left="720"/>
        <w:rPr>
          <w:rFonts w:ascii="Times New Roman" w:hAnsi="Times New Roman"/>
          <w:sz w:val="24"/>
        </w:rPr>
      </w:pPr>
      <w:r>
        <w:rPr>
          <w:rFonts w:ascii="Times New Roman" w:hAnsi="Times New Roman"/>
          <w:sz w:val="24"/>
        </w:rPr>
        <w:t>There is no current economically and technically feasible treatment technology or source reduction strategy to reduce selenium in Alcoa’s discharge to the current chronic selenium standard (5 ug/l) and Alcoa must discharge the 1.5 billion to 4.5 billion gallons per year of the water generated and treated at the site.  Therefore, Alcoa will have no option except to relocate the discharge point to the Saline River if no action is taken to amend the water quality standard.</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4.</w:t>
      </w:r>
      <w:r w:rsidRPr="00043E0B">
        <w:rPr>
          <w:rFonts w:ascii="Times New Roman" w:hAnsi="Times New Roman"/>
          <w:b/>
          <w:sz w:val="24"/>
        </w:rPr>
        <w:tab/>
        <w:t xml:space="preserve">Describe market-based alternatives or voluntary standards that were considered in place of the proposed rule and state the reason for not selecting those alternatives.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Alcoa has only 2 alternatives:  modification of the chronic selenium standard during the term of the EIP or relocate the discharge point to the Saline River.  Discharge to the Saline River is an alternative which is not favored by Alcoa or ADEQ.  Source reduction strategies which have already been considered include reduction of infiltration into the bauxite residue disposal areas which is the source of the seleni</w:t>
      </w:r>
      <w:r w:rsidR="00A70217">
        <w:rPr>
          <w:rFonts w:ascii="Times New Roman" w:hAnsi="Times New Roman"/>
          <w:sz w:val="24"/>
        </w:rPr>
        <w:t xml:space="preserve">um (estimated cost:  $58 - $100 </w:t>
      </w:r>
      <w:r>
        <w:rPr>
          <w:rFonts w:ascii="Times New Roman" w:hAnsi="Times New Roman"/>
          <w:sz w:val="24"/>
        </w:rPr>
        <w:t xml:space="preserve">million); recycling/reuse of the bauxite residue (estimated cost:  $1 billion); recycling/reuse of the </w:t>
      </w:r>
      <w:proofErr w:type="spellStart"/>
      <w:r>
        <w:rPr>
          <w:rFonts w:ascii="Times New Roman" w:hAnsi="Times New Roman"/>
          <w:sz w:val="24"/>
        </w:rPr>
        <w:t>leachate</w:t>
      </w:r>
      <w:proofErr w:type="spellEnd"/>
      <w:r>
        <w:rPr>
          <w:rFonts w:ascii="Times New Roman" w:hAnsi="Times New Roman"/>
          <w:sz w:val="24"/>
        </w:rPr>
        <w:t xml:space="preserve"> (estimated cost:  $7.5 million per year).</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5.</w:t>
      </w:r>
      <w:r w:rsidRPr="00043E0B">
        <w:rPr>
          <w:rFonts w:ascii="Times New Roman" w:hAnsi="Times New Roman"/>
          <w:b/>
          <w:sz w:val="24"/>
        </w:rPr>
        <w:tab/>
        <w:t xml:space="preserve">Estimate the cost to state government of collecting information, completing paperwork, filing, recordkeeping, auditing, and inspecting associated with this new rule.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There is no cost to state government associated with this rule.</w:t>
      </w:r>
    </w:p>
    <w:p w:rsidR="00EF66E2" w:rsidRDefault="00EF66E2" w:rsidP="00EF66E2">
      <w:pPr>
        <w:ind w:left="720"/>
        <w:rPr>
          <w:rFonts w:ascii="Times New Roman" w:hAnsi="Times New Roman"/>
          <w:sz w:val="24"/>
        </w:rPr>
      </w:pPr>
    </w:p>
    <w:p w:rsidR="004169A3" w:rsidRPr="00043E0B" w:rsidRDefault="00EF66E2" w:rsidP="00EF66E2">
      <w:pPr>
        <w:ind w:left="720"/>
        <w:rPr>
          <w:rFonts w:ascii="Times New Roman" w:hAnsi="Times New Roman"/>
          <w:b/>
          <w:sz w:val="24"/>
        </w:rPr>
      </w:pPr>
      <w:r w:rsidRPr="00043E0B">
        <w:rPr>
          <w:rFonts w:ascii="Times New Roman" w:hAnsi="Times New Roman"/>
          <w:b/>
          <w:sz w:val="24"/>
        </w:rPr>
        <w:t>6.</w:t>
      </w:r>
      <w:r w:rsidRPr="00043E0B">
        <w:rPr>
          <w:rFonts w:ascii="Times New Roman" w:hAnsi="Times New Roman"/>
          <w:b/>
          <w:sz w:val="24"/>
        </w:rPr>
        <w:tab/>
        <w:t xml:space="preserve">What types of small businesses will be required to comply with the proposed rule? </w:t>
      </w:r>
    </w:p>
    <w:p w:rsidR="004169A3" w:rsidRDefault="004169A3" w:rsidP="00EF66E2">
      <w:pPr>
        <w:ind w:left="720"/>
        <w:rPr>
          <w:rFonts w:ascii="Times New Roman" w:hAnsi="Times New Roman"/>
          <w:sz w:val="24"/>
        </w:rPr>
      </w:pPr>
    </w:p>
    <w:p w:rsidR="00EF66E2" w:rsidRDefault="004169A3" w:rsidP="00EF66E2">
      <w:pPr>
        <w:ind w:left="720"/>
        <w:rPr>
          <w:rFonts w:ascii="Times New Roman" w:hAnsi="Times New Roman"/>
          <w:sz w:val="24"/>
        </w:rPr>
      </w:pPr>
      <w:r>
        <w:rPr>
          <w:rFonts w:ascii="Times New Roman" w:hAnsi="Times New Roman"/>
          <w:sz w:val="24"/>
        </w:rPr>
        <w:t>There are no additional requirements for any small business due to this rule change.</w:t>
      </w:r>
      <w:r w:rsidR="00EF66E2">
        <w:rPr>
          <w:rFonts w:ascii="Times New Roman" w:hAnsi="Times New Roman"/>
          <w:sz w:val="24"/>
        </w:rPr>
        <w:t xml:space="preserve"> </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7.</w:t>
      </w:r>
      <w:r w:rsidRPr="00043E0B">
        <w:rPr>
          <w:rFonts w:ascii="Times New Roman" w:hAnsi="Times New Roman"/>
          <w:b/>
          <w:sz w:val="24"/>
        </w:rPr>
        <w:tab/>
        <w:t xml:space="preserve">Does the proposed rule create barriers to entry?  If so, please describe those barriers and why those barriers are necessary.  </w:t>
      </w:r>
    </w:p>
    <w:p w:rsidR="00EF66E2" w:rsidRPr="00043E0B" w:rsidRDefault="00EF66E2" w:rsidP="00EF66E2">
      <w:pPr>
        <w:ind w:left="720"/>
        <w:rPr>
          <w:rFonts w:ascii="Times New Roman" w:hAnsi="Times New Roman"/>
          <w:b/>
          <w:sz w:val="24"/>
        </w:rPr>
      </w:pPr>
    </w:p>
    <w:p w:rsidR="004169A3" w:rsidRDefault="004169A3" w:rsidP="00EF66E2">
      <w:pPr>
        <w:ind w:left="720"/>
        <w:rPr>
          <w:rFonts w:ascii="Times New Roman" w:hAnsi="Times New Roman"/>
          <w:sz w:val="24"/>
        </w:rPr>
      </w:pPr>
      <w:r>
        <w:rPr>
          <w:rFonts w:ascii="Times New Roman" w:hAnsi="Times New Roman"/>
          <w:sz w:val="24"/>
        </w:rPr>
        <w:t>There are no barriers to entry.</w:t>
      </w:r>
    </w:p>
    <w:p w:rsidR="004169A3" w:rsidRDefault="004169A3"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8.</w:t>
      </w:r>
      <w:r w:rsidRPr="00043E0B">
        <w:rPr>
          <w:rFonts w:ascii="Times New Roman" w:hAnsi="Times New Roman"/>
          <w:b/>
          <w:sz w:val="24"/>
        </w:rPr>
        <w:tab/>
        <w:t xml:space="preserve">Explain the additional requirements with which small business owners will have to comply and estimate costs associated with compliance.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There are no additional requirements with which small business owners will have to comply.</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9.</w:t>
      </w:r>
      <w:r w:rsidRPr="00043E0B">
        <w:rPr>
          <w:rFonts w:ascii="Times New Roman" w:hAnsi="Times New Roman"/>
          <w:b/>
          <w:sz w:val="24"/>
        </w:rPr>
        <w:tab/>
        <w:t xml:space="preserve">State whether the proposed rule contains different requirements for different sized entities, and explain why this is or is not necessary. </w:t>
      </w:r>
    </w:p>
    <w:p w:rsidR="004169A3" w:rsidRDefault="004169A3" w:rsidP="00EF66E2">
      <w:pPr>
        <w:ind w:left="720"/>
        <w:rPr>
          <w:rFonts w:ascii="Times New Roman" w:hAnsi="Times New Roman"/>
          <w:sz w:val="24"/>
        </w:rPr>
      </w:pPr>
    </w:p>
    <w:p w:rsidR="004169A3" w:rsidRDefault="004169A3" w:rsidP="00EF66E2">
      <w:pPr>
        <w:ind w:left="720"/>
        <w:rPr>
          <w:rFonts w:ascii="Times New Roman" w:hAnsi="Times New Roman"/>
          <w:sz w:val="24"/>
        </w:rPr>
      </w:pPr>
      <w:r>
        <w:rPr>
          <w:rFonts w:ascii="Times New Roman" w:hAnsi="Times New Roman"/>
          <w:sz w:val="24"/>
        </w:rPr>
        <w:t>The rule does not contain different requirements for different sized entities.</w:t>
      </w:r>
    </w:p>
    <w:p w:rsidR="00EF66E2" w:rsidRDefault="00EF66E2" w:rsidP="00EF66E2">
      <w:pPr>
        <w:ind w:left="720"/>
        <w:rPr>
          <w:rFonts w:ascii="Times New Roman" w:hAnsi="Times New Roman"/>
          <w:sz w:val="24"/>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lastRenderedPageBreak/>
        <w:t>10.</w:t>
      </w:r>
      <w:r w:rsidRPr="00043E0B">
        <w:rPr>
          <w:rFonts w:ascii="Times New Roman" w:hAnsi="Times New Roman"/>
          <w:b/>
          <w:sz w:val="24"/>
        </w:rPr>
        <w:tab/>
        <w:t xml:space="preserve">Describe your understanding of the ability of small business owners to implement changes required by the proposed rule.  </w:t>
      </w:r>
    </w:p>
    <w:p w:rsidR="004169A3" w:rsidRPr="00F54E76" w:rsidRDefault="004169A3" w:rsidP="00EF66E2">
      <w:pPr>
        <w:ind w:left="720"/>
        <w:rPr>
          <w:rFonts w:ascii="Times New Roman" w:hAnsi="Times New Roman"/>
          <w:sz w:val="18"/>
          <w:szCs w:val="18"/>
        </w:rPr>
      </w:pPr>
    </w:p>
    <w:p w:rsidR="004169A3" w:rsidRDefault="004169A3" w:rsidP="00EF66E2">
      <w:pPr>
        <w:ind w:left="720"/>
        <w:rPr>
          <w:rFonts w:ascii="Times New Roman" w:hAnsi="Times New Roman"/>
          <w:sz w:val="24"/>
        </w:rPr>
      </w:pPr>
      <w:r>
        <w:rPr>
          <w:rFonts w:ascii="Times New Roman" w:hAnsi="Times New Roman"/>
          <w:sz w:val="24"/>
        </w:rPr>
        <w:t>No business owners will be required to implement changes because of the proposed rule.</w:t>
      </w:r>
    </w:p>
    <w:p w:rsidR="00EF66E2" w:rsidRPr="00F54E76" w:rsidRDefault="00EF66E2" w:rsidP="00EF66E2">
      <w:pPr>
        <w:ind w:left="720"/>
        <w:rPr>
          <w:rFonts w:ascii="Times New Roman" w:hAnsi="Times New Roman"/>
          <w:sz w:val="18"/>
          <w:szCs w:val="18"/>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11.</w:t>
      </w:r>
      <w:r w:rsidRPr="00043E0B">
        <w:rPr>
          <w:rFonts w:ascii="Times New Roman" w:hAnsi="Times New Roman"/>
          <w:b/>
          <w:sz w:val="24"/>
        </w:rPr>
        <w:tab/>
        <w:t xml:space="preserve">How does this rule compare to similar rules in other states or the federal government?  </w:t>
      </w:r>
    </w:p>
    <w:p w:rsidR="004169A3" w:rsidRPr="00F54E76" w:rsidRDefault="004169A3" w:rsidP="00EF66E2">
      <w:pPr>
        <w:ind w:left="720"/>
        <w:rPr>
          <w:rFonts w:ascii="Times New Roman" w:hAnsi="Times New Roman"/>
          <w:sz w:val="18"/>
          <w:szCs w:val="18"/>
        </w:rPr>
      </w:pPr>
    </w:p>
    <w:p w:rsidR="004169A3" w:rsidRDefault="004169A3" w:rsidP="00EF66E2">
      <w:pPr>
        <w:ind w:left="720"/>
        <w:rPr>
          <w:rFonts w:ascii="Times New Roman" w:hAnsi="Times New Roman"/>
          <w:sz w:val="24"/>
        </w:rPr>
      </w:pPr>
      <w:r>
        <w:rPr>
          <w:rFonts w:ascii="Times New Roman" w:hAnsi="Times New Roman"/>
          <w:sz w:val="24"/>
        </w:rPr>
        <w:t>Both federal environmental laws and the environmental laws of most, if not all, states provide for the establishment and amendment of water quality standards, not only by the federal and state agencies, but also by third party petition.  Although the actual numbers set forth in any federal or state promulgated water quality standards may vary one from the other, this proposed amendment the Regulation 2 would be comparable to water quality standards of other states.</w:t>
      </w:r>
    </w:p>
    <w:p w:rsidR="00EF66E2" w:rsidRPr="00F54E76" w:rsidRDefault="00EF66E2" w:rsidP="00EF66E2">
      <w:pPr>
        <w:ind w:left="720"/>
        <w:rPr>
          <w:rFonts w:ascii="Times New Roman" w:hAnsi="Times New Roman"/>
          <w:sz w:val="18"/>
          <w:szCs w:val="18"/>
        </w:rPr>
      </w:pPr>
    </w:p>
    <w:p w:rsidR="00EF66E2" w:rsidRPr="00043E0B" w:rsidRDefault="00EF66E2" w:rsidP="00EF66E2">
      <w:pPr>
        <w:ind w:left="720"/>
        <w:rPr>
          <w:rFonts w:ascii="Times New Roman" w:hAnsi="Times New Roman"/>
          <w:b/>
          <w:sz w:val="24"/>
        </w:rPr>
      </w:pPr>
      <w:r w:rsidRPr="00043E0B">
        <w:rPr>
          <w:rFonts w:ascii="Times New Roman" w:hAnsi="Times New Roman"/>
          <w:b/>
          <w:sz w:val="24"/>
        </w:rPr>
        <w:t>12.</w:t>
      </w:r>
      <w:r w:rsidRPr="00043E0B">
        <w:rPr>
          <w:rFonts w:ascii="Times New Roman" w:hAnsi="Times New Roman"/>
          <w:b/>
          <w:sz w:val="24"/>
        </w:rPr>
        <w:tab/>
        <w:t xml:space="preserve">Summarize the input your agency has received from small business or small business advocates about the proposed rule.  </w:t>
      </w:r>
    </w:p>
    <w:p w:rsidR="00605F32" w:rsidRPr="00F54E76" w:rsidRDefault="00605F32" w:rsidP="00EF66E2">
      <w:pPr>
        <w:ind w:left="720"/>
        <w:rPr>
          <w:rFonts w:ascii="Times New Roman" w:hAnsi="Times New Roman"/>
          <w:sz w:val="18"/>
          <w:szCs w:val="18"/>
        </w:rPr>
      </w:pPr>
    </w:p>
    <w:p w:rsidR="001B5CFF" w:rsidRDefault="00605F32" w:rsidP="001B5CFF">
      <w:pPr>
        <w:ind w:left="720"/>
        <w:rPr>
          <w:rFonts w:ascii="Times New Roman" w:hAnsi="Times New Roman"/>
          <w:b/>
          <w:sz w:val="24"/>
          <w:u w:val="single"/>
        </w:rPr>
      </w:pPr>
      <w:r>
        <w:rPr>
          <w:rFonts w:ascii="Times New Roman" w:hAnsi="Times New Roman"/>
          <w:sz w:val="24"/>
        </w:rPr>
        <w:t>Alcoa is not an agency and, to the best of its knowledge, ADEQ has not yet received input about the proposed rule from any small business or small business advocates.  APCEC Regulation No. 8 requires submission of this information to the public.  Input will come about during the public comment period once the APCEC initiates the rule-making.</w:t>
      </w:r>
    </w:p>
    <w:p w:rsidR="001B5CFF" w:rsidRPr="00F54E76" w:rsidRDefault="001B5CFF" w:rsidP="001B5CFF">
      <w:pPr>
        <w:ind w:left="720"/>
        <w:rPr>
          <w:rFonts w:ascii="Times New Roman" w:hAnsi="Times New Roman"/>
          <w:b/>
          <w:sz w:val="18"/>
          <w:szCs w:val="18"/>
          <w:u w:val="single"/>
        </w:rPr>
      </w:pPr>
    </w:p>
    <w:p w:rsidR="001B5CFF" w:rsidRDefault="001B5CFF" w:rsidP="001B5CFF">
      <w:pPr>
        <w:ind w:left="720"/>
        <w:rPr>
          <w:rFonts w:ascii="Times New Roman" w:hAnsi="Times New Roman"/>
          <w:b/>
          <w:sz w:val="24"/>
          <w:u w:val="single"/>
        </w:rPr>
      </w:pPr>
      <w:r>
        <w:rPr>
          <w:rFonts w:ascii="Times New Roman" w:hAnsi="Times New Roman"/>
          <w:b/>
          <w:sz w:val="24"/>
          <w:u w:val="single"/>
        </w:rPr>
        <w:t>Environmental Benefit</w:t>
      </w:r>
    </w:p>
    <w:p w:rsidR="001B5CFF" w:rsidRPr="00F54E76" w:rsidRDefault="001B5CFF" w:rsidP="001B5CFF">
      <w:pPr>
        <w:ind w:left="720"/>
        <w:rPr>
          <w:rFonts w:ascii="Times New Roman" w:hAnsi="Times New Roman"/>
          <w:b/>
          <w:sz w:val="18"/>
          <w:szCs w:val="18"/>
          <w:u w:val="single"/>
        </w:rPr>
      </w:pPr>
    </w:p>
    <w:p w:rsidR="00043E0B" w:rsidRDefault="001B5CFF" w:rsidP="001B5CFF">
      <w:pPr>
        <w:ind w:left="720"/>
        <w:rPr>
          <w:rFonts w:ascii="Times New Roman" w:hAnsi="Times New Roman"/>
          <w:sz w:val="24"/>
        </w:rPr>
      </w:pPr>
      <w:r w:rsidRPr="00043E0B">
        <w:rPr>
          <w:rFonts w:ascii="Times New Roman" w:hAnsi="Times New Roman"/>
          <w:b/>
          <w:sz w:val="24"/>
        </w:rPr>
        <w:t>1.</w:t>
      </w:r>
      <w:r w:rsidRPr="00043E0B">
        <w:rPr>
          <w:rFonts w:ascii="Times New Roman" w:hAnsi="Times New Roman"/>
          <w:b/>
          <w:sz w:val="24"/>
        </w:rPr>
        <w:tab/>
        <w:t>What issues affecting the environment are addressed by this proposal?</w:t>
      </w:r>
      <w:r>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1B5CFF" w:rsidP="001B5CFF">
      <w:pPr>
        <w:ind w:left="720"/>
        <w:rPr>
          <w:rFonts w:ascii="Times New Roman" w:hAnsi="Times New Roman"/>
          <w:sz w:val="24"/>
        </w:rPr>
      </w:pPr>
      <w:r>
        <w:rPr>
          <w:rFonts w:ascii="Times New Roman" w:hAnsi="Times New Roman"/>
          <w:sz w:val="24"/>
        </w:rPr>
        <w:t>There are currently no known technically and economically feasible biological or chemical treatment</w:t>
      </w:r>
      <w:r w:rsidR="00EF66E2">
        <w:rPr>
          <w:rFonts w:ascii="Times New Roman" w:hAnsi="Times New Roman"/>
          <w:sz w:val="24"/>
        </w:rPr>
        <w:t>s nor source reduction strategies capable of reducing the selenium concentration to levels that meet the current chronic water quality standard.  This rule will allow Alcoa to continue its quest to find and/or develop treatment while preserving the fishery of Holly Creek and protecting the Saline River.</w:t>
      </w:r>
    </w:p>
    <w:p w:rsidR="001B5CFF" w:rsidRPr="00F54E76" w:rsidRDefault="001B5CFF" w:rsidP="001B5CFF">
      <w:pPr>
        <w:ind w:left="720"/>
        <w:rPr>
          <w:rFonts w:ascii="Times New Roman" w:hAnsi="Times New Roman"/>
          <w:sz w:val="18"/>
          <w:szCs w:val="18"/>
        </w:rPr>
      </w:pPr>
    </w:p>
    <w:p w:rsidR="00043E0B" w:rsidRDefault="001B5CFF" w:rsidP="001B5CFF">
      <w:pPr>
        <w:ind w:left="720"/>
        <w:rPr>
          <w:rFonts w:ascii="Times New Roman" w:hAnsi="Times New Roman"/>
          <w:sz w:val="24"/>
        </w:rPr>
      </w:pPr>
      <w:r w:rsidRPr="00043E0B">
        <w:rPr>
          <w:rFonts w:ascii="Times New Roman" w:hAnsi="Times New Roman"/>
          <w:b/>
          <w:sz w:val="24"/>
        </w:rPr>
        <w:t>2.</w:t>
      </w:r>
      <w:r w:rsidRPr="00043E0B">
        <w:rPr>
          <w:rFonts w:ascii="Times New Roman" w:hAnsi="Times New Roman"/>
          <w:b/>
          <w:sz w:val="24"/>
        </w:rPr>
        <w:tab/>
        <w:t>How does this proposed rule protect, enhance, or restore the natural environment for the well being of all Arkansas?</w:t>
      </w:r>
      <w:r w:rsidR="00EF66E2">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043E0B" w:rsidP="001B5CFF">
      <w:pPr>
        <w:ind w:left="720"/>
        <w:rPr>
          <w:rFonts w:ascii="Times New Roman" w:hAnsi="Times New Roman"/>
          <w:sz w:val="24"/>
        </w:rPr>
      </w:pPr>
      <w:r>
        <w:rPr>
          <w:rFonts w:ascii="Times New Roman" w:hAnsi="Times New Roman"/>
          <w:sz w:val="24"/>
        </w:rPr>
        <w:t>T</w:t>
      </w:r>
      <w:r w:rsidR="00EF66E2">
        <w:rPr>
          <w:rFonts w:ascii="Times New Roman" w:hAnsi="Times New Roman"/>
          <w:sz w:val="24"/>
        </w:rPr>
        <w:t>his rule w</w:t>
      </w:r>
      <w:r w:rsidR="0031719D">
        <w:rPr>
          <w:rFonts w:ascii="Times New Roman" w:hAnsi="Times New Roman"/>
          <w:sz w:val="24"/>
        </w:rPr>
        <w:t xml:space="preserve">ill allow Alcoa to continue to </w:t>
      </w:r>
      <w:r w:rsidR="00EF66E2">
        <w:rPr>
          <w:rFonts w:ascii="Times New Roman" w:hAnsi="Times New Roman"/>
          <w:sz w:val="24"/>
        </w:rPr>
        <w:t>manage the property through collecting, treating, and discharging surface water and wastewater (on average 2.5 billion gallons per year) while carrying out the environmental improvement project authorized by Ark. Code Ann. § 8-5-901 et seq. and by APCEC Regulation No. 2, § 2.105 and Appendix B and required by Alcoa’s NPDES Permit.</w:t>
      </w:r>
    </w:p>
    <w:p w:rsidR="001B5CFF" w:rsidRPr="00F54E76" w:rsidRDefault="001B5CFF" w:rsidP="001B5CFF">
      <w:pPr>
        <w:ind w:left="720"/>
        <w:rPr>
          <w:rFonts w:ascii="Times New Roman" w:hAnsi="Times New Roman"/>
          <w:sz w:val="18"/>
          <w:szCs w:val="18"/>
        </w:rPr>
      </w:pPr>
    </w:p>
    <w:p w:rsidR="00043E0B" w:rsidRDefault="001B5CFF" w:rsidP="001B5CFF">
      <w:pPr>
        <w:ind w:left="720"/>
        <w:rPr>
          <w:rFonts w:ascii="Times New Roman" w:hAnsi="Times New Roman"/>
          <w:sz w:val="24"/>
        </w:rPr>
      </w:pPr>
      <w:r w:rsidRPr="00043E0B">
        <w:rPr>
          <w:rFonts w:ascii="Times New Roman" w:hAnsi="Times New Roman"/>
          <w:b/>
          <w:sz w:val="24"/>
        </w:rPr>
        <w:t>3.</w:t>
      </w:r>
      <w:r w:rsidRPr="00043E0B">
        <w:rPr>
          <w:rFonts w:ascii="Times New Roman" w:hAnsi="Times New Roman"/>
          <w:b/>
          <w:sz w:val="24"/>
        </w:rPr>
        <w:tab/>
        <w:t>What detrimental effect will there be to the environment or to the public health and safety if this proposed rule is not implemented?</w:t>
      </w:r>
      <w:r>
        <w:rPr>
          <w:rFonts w:ascii="Times New Roman" w:hAnsi="Times New Roman"/>
          <w:sz w:val="24"/>
        </w:rPr>
        <w:t xml:space="preserve">  </w:t>
      </w:r>
    </w:p>
    <w:p w:rsidR="00043E0B" w:rsidRPr="00F54E76" w:rsidRDefault="00043E0B" w:rsidP="001B5CFF">
      <w:pPr>
        <w:ind w:left="720"/>
        <w:rPr>
          <w:rFonts w:ascii="Times New Roman" w:hAnsi="Times New Roman"/>
          <w:sz w:val="18"/>
          <w:szCs w:val="18"/>
        </w:rPr>
      </w:pPr>
    </w:p>
    <w:p w:rsidR="001B5CFF" w:rsidRDefault="00EF66E2" w:rsidP="001B5CFF">
      <w:pPr>
        <w:ind w:left="720"/>
        <w:rPr>
          <w:rFonts w:ascii="Times New Roman" w:hAnsi="Times New Roman"/>
          <w:sz w:val="24"/>
        </w:rPr>
      </w:pPr>
      <w:r>
        <w:rPr>
          <w:rFonts w:ascii="Times New Roman" w:hAnsi="Times New Roman"/>
          <w:sz w:val="24"/>
        </w:rPr>
        <w:t>Without this proposed rule, Alcoa may not have any alternative other than moving the discharge to the Saline River via a constructed pipeline.  This proposed rule is necessary and appropriate to preserve the habitat-limited fishery of Holly Creek and protect the Saline River.</w:t>
      </w:r>
    </w:p>
    <w:p w:rsidR="001B5CFF" w:rsidRDefault="001B5CFF" w:rsidP="001B5CFF">
      <w:pPr>
        <w:ind w:left="720"/>
        <w:rPr>
          <w:rFonts w:ascii="Times New Roman" w:hAnsi="Times New Roman"/>
          <w:sz w:val="24"/>
        </w:rPr>
      </w:pPr>
    </w:p>
    <w:p w:rsidR="00043E0B" w:rsidRDefault="001B5CFF" w:rsidP="001B5CFF">
      <w:pPr>
        <w:ind w:left="720"/>
        <w:rPr>
          <w:rFonts w:ascii="Times New Roman" w:hAnsi="Times New Roman"/>
          <w:sz w:val="24"/>
        </w:rPr>
      </w:pPr>
      <w:r w:rsidRPr="00043E0B">
        <w:rPr>
          <w:rFonts w:ascii="Times New Roman" w:hAnsi="Times New Roman"/>
          <w:b/>
          <w:sz w:val="24"/>
        </w:rPr>
        <w:lastRenderedPageBreak/>
        <w:t>4.</w:t>
      </w:r>
      <w:r w:rsidRPr="00043E0B">
        <w:rPr>
          <w:rFonts w:ascii="Times New Roman" w:hAnsi="Times New Roman"/>
          <w:b/>
          <w:sz w:val="24"/>
        </w:rPr>
        <w:tab/>
        <w:t>What risks are addressed by the proposal and to what extent are the risks anticipated to be reduced?</w:t>
      </w:r>
      <w:r>
        <w:rPr>
          <w:rFonts w:ascii="Times New Roman" w:hAnsi="Times New Roman"/>
          <w:sz w:val="24"/>
        </w:rPr>
        <w:t xml:space="preserve"> </w:t>
      </w:r>
      <w:r w:rsidR="00EF66E2">
        <w:rPr>
          <w:rFonts w:ascii="Times New Roman" w:hAnsi="Times New Roman"/>
          <w:sz w:val="24"/>
        </w:rPr>
        <w:t xml:space="preserve">   </w:t>
      </w:r>
    </w:p>
    <w:p w:rsidR="00043E0B" w:rsidRDefault="00043E0B" w:rsidP="001B5CFF">
      <w:pPr>
        <w:ind w:left="720"/>
        <w:rPr>
          <w:rFonts w:ascii="Times New Roman" w:hAnsi="Times New Roman"/>
          <w:sz w:val="24"/>
        </w:rPr>
      </w:pPr>
    </w:p>
    <w:p w:rsidR="001B5CFF" w:rsidRDefault="00EF66E2" w:rsidP="001B5CFF">
      <w:pPr>
        <w:ind w:left="720"/>
        <w:rPr>
          <w:rFonts w:ascii="Times New Roman" w:hAnsi="Times New Roman"/>
          <w:sz w:val="24"/>
        </w:rPr>
      </w:pPr>
      <w:r>
        <w:rPr>
          <w:rFonts w:ascii="Times New Roman" w:hAnsi="Times New Roman"/>
          <w:sz w:val="24"/>
        </w:rPr>
        <w:t>The risks addressed by this proposal are the loss of the continued protection of the habitat-limited fishery of Holly Creek and protection of the designated and existing uses of the Saline River.  Under this proposal, the risks should be substantially eliminated.</w:t>
      </w:r>
    </w:p>
    <w:p w:rsidR="0054191D" w:rsidRDefault="0054191D">
      <w:pPr>
        <w:ind w:left="720"/>
        <w:rPr>
          <w:rFonts w:ascii="Times New Roman" w:hAnsi="Times New Roman"/>
          <w:sz w:val="24"/>
        </w:rPr>
      </w:pPr>
    </w:p>
    <w:p w:rsidR="0054191D" w:rsidRDefault="0054191D" w:rsidP="00041D8A">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41D8A">
        <w:rPr>
          <w:rFonts w:ascii="Times New Roman" w:hAnsi="Times New Roman"/>
          <w:sz w:val="24"/>
        </w:rPr>
        <w:t>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w:t>
      </w:r>
      <w:proofErr w:type="spellStart"/>
      <w:r w:rsidR="00041D8A">
        <w:rPr>
          <w:rFonts w:ascii="Times New Roman" w:hAnsi="Times New Roman"/>
          <w:sz w:val="24"/>
        </w:rPr>
        <w:t>ffluent</w:t>
      </w:r>
      <w:proofErr w:type="spellEnd"/>
      <w:r w:rsidR="00041D8A">
        <w:rPr>
          <w:rFonts w:ascii="Times New Roman" w:hAnsi="Times New Roman"/>
          <w:sz w:val="24"/>
        </w:rPr>
        <w:t xml:space="preserve"> standards specifying the maximum amounts or concentrations and the physical, thermal, chemical, biological, and radioactive nature of the contaminants that may be discharged into the waters of this state."</w:t>
      </w:r>
    </w:p>
    <w:p w:rsidR="0054191D" w:rsidRDefault="0054191D">
      <w:pPr>
        <w:ind w:firstLine="720"/>
        <w:rPr>
          <w:rFonts w:ascii="Times New Roman" w:hAnsi="Times New Roman"/>
          <w:sz w:val="24"/>
        </w:rPr>
      </w:pPr>
    </w:p>
    <w:p w:rsidR="00671317" w:rsidRDefault="00602A03">
      <w:pPr>
        <w:ind w:firstLine="720"/>
        <w:rPr>
          <w:rFonts w:ascii="Times New Roman" w:hAnsi="Times New Roman"/>
          <w:sz w:val="24"/>
        </w:rPr>
      </w:pPr>
      <w:proofErr w:type="spellStart"/>
      <w:r>
        <w:rPr>
          <w:rFonts w:ascii="Times New Roman" w:hAnsi="Times New Roman"/>
          <w:sz w:val="24"/>
        </w:rPr>
        <w:t>MNH</w:t>
      </w:r>
      <w:proofErr w:type="spellEnd"/>
      <w:r>
        <w:rPr>
          <w:rFonts w:ascii="Times New Roman" w:hAnsi="Times New Roman"/>
          <w:sz w:val="24"/>
        </w:rPr>
        <w:t xml:space="preserve"> 6-1-2011</w:t>
      </w:r>
    </w:p>
    <w:sectPr w:rsidR="00671317" w:rsidSect="00F54E76">
      <w:headerReference w:type="default" r:id="rId7"/>
      <w:footerReference w:type="default" r:id="rId8"/>
      <w:endnotePr>
        <w:numFmt w:val="decimal"/>
      </w:endnotePr>
      <w:pgSz w:w="12240" w:h="15840"/>
      <w:pgMar w:top="1152" w:right="1440" w:bottom="1152" w:left="1440" w:header="432" w:footer="432"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E76" w:rsidRDefault="00F54E76">
      <w:pPr>
        <w:spacing w:line="20" w:lineRule="exact"/>
        <w:rPr>
          <w:sz w:val="24"/>
        </w:rPr>
      </w:pPr>
    </w:p>
  </w:endnote>
  <w:endnote w:type="continuationSeparator" w:id="0">
    <w:p w:rsidR="00F54E76" w:rsidRDefault="00F54E76">
      <w:r>
        <w:rPr>
          <w:sz w:val="24"/>
        </w:rPr>
        <w:t xml:space="preserve"> </w:t>
      </w:r>
    </w:p>
  </w:endnote>
  <w:endnote w:type="continuationNotice" w:id="1">
    <w:p w:rsidR="00F54E76" w:rsidRDefault="00F54E7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76" w:rsidRDefault="00F54E76">
    <w:pPr>
      <w:pStyle w:val="Footer"/>
    </w:pPr>
    <w:r>
      <w:tab/>
    </w:r>
    <w:sdt>
      <w:sdtPr>
        <w:id w:val="1841044407"/>
        <w:docPartObj>
          <w:docPartGallery w:val="Page Numbers (Bottom of Page)"/>
          <w:docPartUnique/>
        </w:docPartObj>
      </w:sdtPr>
      <w:sdtContent>
        <w:sdt>
          <w:sdtPr>
            <w:id w:val="98381352"/>
            <w:docPartObj>
              <w:docPartGallery w:val="Page Numbers (Top of Page)"/>
              <w:docPartUnique/>
            </w:docPartObj>
          </w:sdtPr>
          <w:sdtContent>
            <w:r>
              <w:t xml:space="preserve">Page </w:t>
            </w:r>
            <w:r w:rsidR="00E018B0">
              <w:rPr>
                <w:b/>
                <w:sz w:val="24"/>
                <w:szCs w:val="24"/>
              </w:rPr>
              <w:fldChar w:fldCharType="begin"/>
            </w:r>
            <w:r>
              <w:rPr>
                <w:b/>
              </w:rPr>
              <w:instrText xml:space="preserve"> PAGE </w:instrText>
            </w:r>
            <w:r w:rsidR="00E018B0">
              <w:rPr>
                <w:b/>
                <w:sz w:val="24"/>
                <w:szCs w:val="24"/>
              </w:rPr>
              <w:fldChar w:fldCharType="separate"/>
            </w:r>
            <w:r w:rsidR="006C37AE">
              <w:rPr>
                <w:b/>
                <w:noProof/>
              </w:rPr>
              <w:t>1</w:t>
            </w:r>
            <w:r w:rsidR="00E018B0">
              <w:rPr>
                <w:b/>
                <w:sz w:val="24"/>
                <w:szCs w:val="24"/>
              </w:rPr>
              <w:fldChar w:fldCharType="end"/>
            </w:r>
            <w:r>
              <w:t xml:space="preserve"> of </w:t>
            </w:r>
            <w:r w:rsidR="00E018B0">
              <w:rPr>
                <w:b/>
                <w:sz w:val="24"/>
                <w:szCs w:val="24"/>
              </w:rPr>
              <w:fldChar w:fldCharType="begin"/>
            </w:r>
            <w:r>
              <w:rPr>
                <w:b/>
              </w:rPr>
              <w:instrText xml:space="preserve"> NUMPAGES  </w:instrText>
            </w:r>
            <w:r w:rsidR="00E018B0">
              <w:rPr>
                <w:b/>
                <w:sz w:val="24"/>
                <w:szCs w:val="24"/>
              </w:rPr>
              <w:fldChar w:fldCharType="separate"/>
            </w:r>
            <w:r w:rsidR="006C37AE">
              <w:rPr>
                <w:b/>
                <w:noProof/>
              </w:rPr>
              <w:t>4</w:t>
            </w:r>
            <w:r w:rsidR="00E018B0">
              <w:rPr>
                <w:b/>
                <w:sz w:val="24"/>
                <w:szCs w:val="24"/>
              </w:rPr>
              <w:fldChar w:fldCharType="end"/>
            </w:r>
          </w:sdtContent>
        </w:sdt>
      </w:sdtContent>
    </w:sdt>
  </w:p>
  <w:p w:rsidR="00F54E76" w:rsidRDefault="00F54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E76" w:rsidRDefault="00F54E76">
      <w:r>
        <w:rPr>
          <w:sz w:val="24"/>
        </w:rPr>
        <w:separator/>
      </w:r>
    </w:p>
  </w:footnote>
  <w:footnote w:type="continuationSeparator" w:id="0">
    <w:p w:rsidR="00F54E76" w:rsidRDefault="00F54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76" w:rsidRPr="00F54E76" w:rsidRDefault="00F54E76" w:rsidP="00F54E76">
    <w:pPr>
      <w:pStyle w:val="Header"/>
      <w:jc w:val="right"/>
      <w:rPr>
        <w:rFonts w:ascii="Bodoni MT" w:hAnsi="Bodoni MT"/>
        <w:b/>
        <w:sz w:val="56"/>
        <w:szCs w:val="5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24A36"/>
    <w:rsid w:val="00041D8A"/>
    <w:rsid w:val="00043E0B"/>
    <w:rsid w:val="000521F1"/>
    <w:rsid w:val="000742D1"/>
    <w:rsid w:val="00090544"/>
    <w:rsid w:val="000A0EC7"/>
    <w:rsid w:val="000B4083"/>
    <w:rsid w:val="000C0D7C"/>
    <w:rsid w:val="00194461"/>
    <w:rsid w:val="001B5CFF"/>
    <w:rsid w:val="001C0DE4"/>
    <w:rsid w:val="001E69CE"/>
    <w:rsid w:val="001F4FC1"/>
    <w:rsid w:val="002275B2"/>
    <w:rsid w:val="002451B8"/>
    <w:rsid w:val="002849B1"/>
    <w:rsid w:val="002934CB"/>
    <w:rsid w:val="002B35D3"/>
    <w:rsid w:val="002E4750"/>
    <w:rsid w:val="0031719D"/>
    <w:rsid w:val="00404C17"/>
    <w:rsid w:val="004169A3"/>
    <w:rsid w:val="004261CB"/>
    <w:rsid w:val="0044490C"/>
    <w:rsid w:val="00460750"/>
    <w:rsid w:val="0046249F"/>
    <w:rsid w:val="004A2B15"/>
    <w:rsid w:val="004B4107"/>
    <w:rsid w:val="004F7718"/>
    <w:rsid w:val="0054191D"/>
    <w:rsid w:val="00560B2F"/>
    <w:rsid w:val="00602A03"/>
    <w:rsid w:val="00605F32"/>
    <w:rsid w:val="00621E42"/>
    <w:rsid w:val="0062729B"/>
    <w:rsid w:val="00671317"/>
    <w:rsid w:val="0067340D"/>
    <w:rsid w:val="006C3016"/>
    <w:rsid w:val="006C37AE"/>
    <w:rsid w:val="006F3B6A"/>
    <w:rsid w:val="00774738"/>
    <w:rsid w:val="00776C2D"/>
    <w:rsid w:val="007C111A"/>
    <w:rsid w:val="007C61F9"/>
    <w:rsid w:val="00804F09"/>
    <w:rsid w:val="0082062E"/>
    <w:rsid w:val="00823DA4"/>
    <w:rsid w:val="0088028C"/>
    <w:rsid w:val="008963BC"/>
    <w:rsid w:val="00956F7F"/>
    <w:rsid w:val="00971A42"/>
    <w:rsid w:val="0098331F"/>
    <w:rsid w:val="009B181E"/>
    <w:rsid w:val="009C17BD"/>
    <w:rsid w:val="009D1E31"/>
    <w:rsid w:val="009F3043"/>
    <w:rsid w:val="009F66C1"/>
    <w:rsid w:val="00A3005B"/>
    <w:rsid w:val="00A50E8D"/>
    <w:rsid w:val="00A666DF"/>
    <w:rsid w:val="00A70217"/>
    <w:rsid w:val="00A72EEC"/>
    <w:rsid w:val="00A8721A"/>
    <w:rsid w:val="00AC744E"/>
    <w:rsid w:val="00AD4DC7"/>
    <w:rsid w:val="00AD51B0"/>
    <w:rsid w:val="00B0774D"/>
    <w:rsid w:val="00B21260"/>
    <w:rsid w:val="00B80054"/>
    <w:rsid w:val="00BA767C"/>
    <w:rsid w:val="00BC272B"/>
    <w:rsid w:val="00C924E4"/>
    <w:rsid w:val="00C965EC"/>
    <w:rsid w:val="00CA52D4"/>
    <w:rsid w:val="00CE27B4"/>
    <w:rsid w:val="00CE720D"/>
    <w:rsid w:val="00D12A71"/>
    <w:rsid w:val="00D874B6"/>
    <w:rsid w:val="00DB143A"/>
    <w:rsid w:val="00DD696E"/>
    <w:rsid w:val="00DE0D68"/>
    <w:rsid w:val="00E018B0"/>
    <w:rsid w:val="00E06322"/>
    <w:rsid w:val="00E51CFF"/>
    <w:rsid w:val="00E636BD"/>
    <w:rsid w:val="00E66469"/>
    <w:rsid w:val="00E6742C"/>
    <w:rsid w:val="00EF66E2"/>
    <w:rsid w:val="00F54E76"/>
    <w:rsid w:val="00F55725"/>
    <w:rsid w:val="00F60C9D"/>
    <w:rsid w:val="00F825B0"/>
    <w:rsid w:val="00F936FA"/>
    <w:rsid w:val="00FB00B7"/>
    <w:rsid w:val="00FC6CF6"/>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F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C6CF6"/>
    <w:rPr>
      <w:sz w:val="24"/>
    </w:rPr>
  </w:style>
  <w:style w:type="character" w:styleId="EndnoteReference">
    <w:name w:val="endnote reference"/>
    <w:basedOn w:val="DefaultParagraphFont"/>
    <w:semiHidden/>
    <w:rsid w:val="00FC6CF6"/>
    <w:rPr>
      <w:vertAlign w:val="superscript"/>
    </w:rPr>
  </w:style>
  <w:style w:type="paragraph" w:styleId="FootnoteText">
    <w:name w:val="footnote text"/>
    <w:basedOn w:val="Normal"/>
    <w:semiHidden/>
    <w:rsid w:val="00FC6CF6"/>
    <w:rPr>
      <w:sz w:val="24"/>
    </w:rPr>
  </w:style>
  <w:style w:type="character" w:styleId="FootnoteReference">
    <w:name w:val="footnote reference"/>
    <w:basedOn w:val="DefaultParagraphFont"/>
    <w:semiHidden/>
    <w:rsid w:val="00FC6CF6"/>
    <w:rPr>
      <w:vertAlign w:val="superscript"/>
    </w:rPr>
  </w:style>
  <w:style w:type="paragraph" w:styleId="TOC1">
    <w:name w:val="toc 1"/>
    <w:basedOn w:val="Normal"/>
    <w:next w:val="Normal"/>
    <w:semiHidden/>
    <w:rsid w:val="00FC6CF6"/>
    <w:pPr>
      <w:tabs>
        <w:tab w:val="right" w:leader="dot" w:pos="9360"/>
      </w:tabs>
      <w:suppressAutoHyphens/>
      <w:spacing w:before="480"/>
      <w:ind w:left="720" w:right="720" w:hanging="720"/>
    </w:pPr>
  </w:style>
  <w:style w:type="paragraph" w:styleId="TOC2">
    <w:name w:val="toc 2"/>
    <w:basedOn w:val="Normal"/>
    <w:next w:val="Normal"/>
    <w:semiHidden/>
    <w:rsid w:val="00FC6CF6"/>
    <w:pPr>
      <w:tabs>
        <w:tab w:val="right" w:leader="dot" w:pos="9360"/>
      </w:tabs>
      <w:suppressAutoHyphens/>
      <w:ind w:left="1440" w:right="720" w:hanging="720"/>
    </w:pPr>
  </w:style>
  <w:style w:type="paragraph" w:styleId="TOC3">
    <w:name w:val="toc 3"/>
    <w:basedOn w:val="Normal"/>
    <w:next w:val="Normal"/>
    <w:semiHidden/>
    <w:rsid w:val="00FC6CF6"/>
    <w:pPr>
      <w:tabs>
        <w:tab w:val="right" w:leader="dot" w:pos="9360"/>
      </w:tabs>
      <w:suppressAutoHyphens/>
      <w:ind w:left="2160" w:right="720" w:hanging="720"/>
    </w:pPr>
  </w:style>
  <w:style w:type="paragraph" w:styleId="TOC4">
    <w:name w:val="toc 4"/>
    <w:basedOn w:val="Normal"/>
    <w:next w:val="Normal"/>
    <w:semiHidden/>
    <w:rsid w:val="00FC6CF6"/>
    <w:pPr>
      <w:tabs>
        <w:tab w:val="right" w:leader="dot" w:pos="9360"/>
      </w:tabs>
      <w:suppressAutoHyphens/>
      <w:ind w:left="2880" w:right="720" w:hanging="720"/>
    </w:pPr>
  </w:style>
  <w:style w:type="paragraph" w:styleId="TOC5">
    <w:name w:val="toc 5"/>
    <w:basedOn w:val="Normal"/>
    <w:next w:val="Normal"/>
    <w:semiHidden/>
    <w:rsid w:val="00FC6CF6"/>
    <w:pPr>
      <w:tabs>
        <w:tab w:val="right" w:leader="dot" w:pos="9360"/>
      </w:tabs>
      <w:suppressAutoHyphens/>
      <w:ind w:left="3600" w:right="720" w:hanging="720"/>
    </w:pPr>
  </w:style>
  <w:style w:type="paragraph" w:styleId="TOC6">
    <w:name w:val="toc 6"/>
    <w:basedOn w:val="Normal"/>
    <w:next w:val="Normal"/>
    <w:semiHidden/>
    <w:rsid w:val="00FC6CF6"/>
    <w:pPr>
      <w:tabs>
        <w:tab w:val="right" w:pos="9360"/>
      </w:tabs>
      <w:suppressAutoHyphens/>
      <w:ind w:left="720" w:hanging="720"/>
    </w:pPr>
  </w:style>
  <w:style w:type="paragraph" w:styleId="TOC7">
    <w:name w:val="toc 7"/>
    <w:basedOn w:val="Normal"/>
    <w:next w:val="Normal"/>
    <w:semiHidden/>
    <w:rsid w:val="00FC6CF6"/>
    <w:pPr>
      <w:suppressAutoHyphens/>
      <w:ind w:left="720" w:hanging="720"/>
    </w:pPr>
  </w:style>
  <w:style w:type="paragraph" w:styleId="TOC8">
    <w:name w:val="toc 8"/>
    <w:basedOn w:val="Normal"/>
    <w:next w:val="Normal"/>
    <w:semiHidden/>
    <w:rsid w:val="00FC6CF6"/>
    <w:pPr>
      <w:tabs>
        <w:tab w:val="right" w:pos="9360"/>
      </w:tabs>
      <w:suppressAutoHyphens/>
      <w:ind w:left="720" w:hanging="720"/>
    </w:pPr>
  </w:style>
  <w:style w:type="paragraph" w:styleId="TOC9">
    <w:name w:val="toc 9"/>
    <w:basedOn w:val="Normal"/>
    <w:next w:val="Normal"/>
    <w:semiHidden/>
    <w:rsid w:val="00FC6CF6"/>
    <w:pPr>
      <w:tabs>
        <w:tab w:val="right" w:leader="dot" w:pos="9360"/>
      </w:tabs>
      <w:suppressAutoHyphens/>
      <w:ind w:left="720" w:hanging="720"/>
    </w:pPr>
  </w:style>
  <w:style w:type="paragraph" w:styleId="Index1">
    <w:name w:val="index 1"/>
    <w:basedOn w:val="Normal"/>
    <w:next w:val="Normal"/>
    <w:semiHidden/>
    <w:rsid w:val="00FC6CF6"/>
    <w:pPr>
      <w:tabs>
        <w:tab w:val="right" w:leader="dot" w:pos="9360"/>
      </w:tabs>
      <w:suppressAutoHyphens/>
      <w:ind w:left="1440" w:right="720" w:hanging="1440"/>
    </w:pPr>
  </w:style>
  <w:style w:type="paragraph" w:styleId="Index2">
    <w:name w:val="index 2"/>
    <w:basedOn w:val="Normal"/>
    <w:next w:val="Normal"/>
    <w:semiHidden/>
    <w:rsid w:val="00FC6CF6"/>
    <w:pPr>
      <w:tabs>
        <w:tab w:val="right" w:leader="dot" w:pos="9360"/>
      </w:tabs>
      <w:suppressAutoHyphens/>
      <w:ind w:left="1440" w:right="720" w:hanging="720"/>
    </w:pPr>
  </w:style>
  <w:style w:type="paragraph" w:styleId="TOAHeading">
    <w:name w:val="toa heading"/>
    <w:basedOn w:val="Normal"/>
    <w:next w:val="Normal"/>
    <w:semiHidden/>
    <w:rsid w:val="00FC6CF6"/>
    <w:pPr>
      <w:tabs>
        <w:tab w:val="right" w:pos="9360"/>
      </w:tabs>
      <w:suppressAutoHyphens/>
    </w:pPr>
  </w:style>
  <w:style w:type="paragraph" w:styleId="Caption">
    <w:name w:val="caption"/>
    <w:basedOn w:val="Normal"/>
    <w:next w:val="Normal"/>
    <w:qFormat/>
    <w:rsid w:val="00FC6CF6"/>
    <w:rPr>
      <w:sz w:val="24"/>
    </w:rPr>
  </w:style>
  <w:style w:type="character" w:customStyle="1" w:styleId="EquationCaption">
    <w:name w:val="_Equation Caption"/>
    <w:rsid w:val="00FC6CF6"/>
  </w:style>
  <w:style w:type="paragraph" w:styleId="BodyText">
    <w:name w:val="Body Text"/>
    <w:basedOn w:val="Normal"/>
    <w:rsid w:val="00FC6CF6"/>
    <w:rPr>
      <w:rFonts w:ascii="Times New Roman" w:hAnsi="Times New Roman"/>
      <w:sz w:val="24"/>
    </w:rPr>
  </w:style>
  <w:style w:type="paragraph" w:styleId="BodyTextIndent">
    <w:name w:val="Body Text Indent"/>
    <w:basedOn w:val="Normal"/>
    <w:rsid w:val="00FC6CF6"/>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F54E76"/>
    <w:pPr>
      <w:tabs>
        <w:tab w:val="center" w:pos="4680"/>
        <w:tab w:val="right" w:pos="9360"/>
      </w:tabs>
    </w:pPr>
  </w:style>
  <w:style w:type="character" w:customStyle="1" w:styleId="HeaderChar">
    <w:name w:val="Header Char"/>
    <w:basedOn w:val="DefaultParagraphFont"/>
    <w:link w:val="Header"/>
    <w:uiPriority w:val="99"/>
    <w:semiHidden/>
    <w:rsid w:val="00F54E76"/>
    <w:rPr>
      <w:rFonts w:ascii="Courier New" w:hAnsi="Courier New"/>
    </w:rPr>
  </w:style>
  <w:style w:type="paragraph" w:styleId="Footer">
    <w:name w:val="footer"/>
    <w:basedOn w:val="Normal"/>
    <w:link w:val="FooterChar"/>
    <w:uiPriority w:val="99"/>
    <w:unhideWhenUsed/>
    <w:rsid w:val="00F54E76"/>
    <w:pPr>
      <w:tabs>
        <w:tab w:val="center" w:pos="4680"/>
        <w:tab w:val="right" w:pos="9360"/>
      </w:tabs>
    </w:pPr>
  </w:style>
  <w:style w:type="character" w:customStyle="1" w:styleId="FooterChar">
    <w:name w:val="Footer Char"/>
    <w:basedOn w:val="DefaultParagraphFont"/>
    <w:link w:val="Footer"/>
    <w:uiPriority w:val="99"/>
    <w:rsid w:val="00F54E76"/>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6B5B88F2-C761-4187-9599-3F713AA992C9}"/>
</file>

<file path=customXml/itemProps2.xml><?xml version="1.0" encoding="utf-8"?>
<ds:datastoreItem xmlns:ds="http://schemas.openxmlformats.org/officeDocument/2006/customXml" ds:itemID="{23958BC3-0279-4D38-8883-5B39A14A5480}"/>
</file>

<file path=customXml/itemProps3.xml><?xml version="1.0" encoding="utf-8"?>
<ds:datastoreItem xmlns:ds="http://schemas.openxmlformats.org/officeDocument/2006/customXml" ds:itemID="{F816450F-D262-4F00-8186-95225CF0FFCB}"/>
</file>

<file path=docProps/app.xml><?xml version="1.0" encoding="utf-8"?>
<Properties xmlns="http://schemas.openxmlformats.org/officeDocument/2006/extended-properties" xmlns:vt="http://schemas.openxmlformats.org/officeDocument/2006/docPropsVTypes">
  <Template>Normal.dotm</Template>
  <TotalTime>14</TotalTime>
  <Pages>4</Pages>
  <Words>1360</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6</cp:revision>
  <cp:lastPrinted>2011-06-20T14:12:00Z</cp:lastPrinted>
  <dcterms:created xsi:type="dcterms:W3CDTF">2011-06-09T18:14:00Z</dcterms:created>
  <dcterms:modified xsi:type="dcterms:W3CDTF">2011-06-22T20:34:00Z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2285000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