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83" w:rsidRPr="006744B7" w:rsidRDefault="00A966AC" w:rsidP="006744B7">
      <w:pPr>
        <w:pStyle w:val="NoSpacing"/>
        <w:rPr>
          <w:b/>
        </w:rPr>
      </w:pPr>
      <w:r>
        <w:rPr>
          <w:b/>
        </w:rPr>
        <w:t xml:space="preserve">Report to Joint </w:t>
      </w:r>
      <w:r w:rsidR="007A669B" w:rsidRPr="006744B7">
        <w:rPr>
          <w:b/>
        </w:rPr>
        <w:t>House and Senate Public Health Committees</w:t>
      </w:r>
    </w:p>
    <w:p w:rsidR="007A669B" w:rsidRDefault="007A669B" w:rsidP="006744B7">
      <w:pPr>
        <w:pStyle w:val="NoSpacing"/>
      </w:pPr>
      <w:r w:rsidRPr="007A669B">
        <w:t>Health Benefits Exch</w:t>
      </w:r>
      <w:r w:rsidR="006744B7">
        <w:t>ange Partnership Division</w:t>
      </w:r>
    </w:p>
    <w:p w:rsidR="00E775DE" w:rsidRDefault="00A966AC" w:rsidP="00E775DE">
      <w:pPr>
        <w:pStyle w:val="NoSpacing"/>
      </w:pPr>
      <w:r>
        <w:t>Arkansas Insurance Department (AID)</w:t>
      </w:r>
      <w:r w:rsidR="00E775DE">
        <w:t xml:space="preserve"> </w:t>
      </w:r>
    </w:p>
    <w:p w:rsidR="00EF6AAA" w:rsidRDefault="006744B7" w:rsidP="00E775DE">
      <w:pPr>
        <w:pStyle w:val="NoSpacing"/>
      </w:pPr>
      <w:r w:rsidRPr="007A669B">
        <w:t>May 23, 2013</w:t>
      </w:r>
    </w:p>
    <w:p w:rsidR="00E775DE" w:rsidRDefault="00E775DE" w:rsidP="00E775DE">
      <w:pPr>
        <w:pStyle w:val="NoSpacing"/>
      </w:pPr>
    </w:p>
    <w:p w:rsidR="00FB40E7" w:rsidRDefault="00EF6AAA" w:rsidP="00674437">
      <w:pPr>
        <w:pStyle w:val="NoSpacing"/>
        <w:jc w:val="center"/>
      </w:pPr>
      <w:r>
        <w:rPr>
          <w:noProof/>
        </w:rPr>
        <w:drawing>
          <wp:inline distT="0" distB="0" distL="0" distR="0" wp14:anchorId="34D47090" wp14:editId="54EF171B">
            <wp:extent cx="5008169" cy="122589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169" cy="1225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0E7" w:rsidRDefault="00FB40E7" w:rsidP="006744B7">
      <w:pPr>
        <w:pStyle w:val="NoSpacing"/>
      </w:pPr>
    </w:p>
    <w:p w:rsidR="003F749F" w:rsidRDefault="004E6123" w:rsidP="00976D17">
      <w:pPr>
        <w:pStyle w:val="NoSpacing"/>
      </w:pPr>
      <w:r>
        <w:t>Since early 2012, the A</w:t>
      </w:r>
      <w:r w:rsidR="00EF6AAA">
        <w:t xml:space="preserve">rkansas Insurance Department’s Health Benefits Exchange Partnership Division has </w:t>
      </w:r>
      <w:r>
        <w:t>been working with state and federal partners—public and private--</w:t>
      </w:r>
      <w:r w:rsidR="003F749F">
        <w:t xml:space="preserve">to design Arkansas’s </w:t>
      </w:r>
      <w:r w:rsidR="00FC4BBD">
        <w:t xml:space="preserve">State Partnership </w:t>
      </w:r>
      <w:r w:rsidR="003F749F">
        <w:t>Marketplace</w:t>
      </w:r>
      <w:r w:rsidR="008E6453">
        <w:t xml:space="preserve"> (SPM)</w:t>
      </w:r>
      <w:r>
        <w:t xml:space="preserve">.  First Data Government Solutions serves a critical project management role, helping to coordinate and track multiple project </w:t>
      </w:r>
      <w:r w:rsidR="00FC4BBD">
        <w:t xml:space="preserve">activities, </w:t>
      </w:r>
      <w:r>
        <w:t xml:space="preserve">vendors, staff, </w:t>
      </w:r>
      <w:r w:rsidR="00FC4BBD">
        <w:t xml:space="preserve">advisory groups, interdependencies, </w:t>
      </w:r>
      <w:r>
        <w:t>deliverables</w:t>
      </w:r>
      <w:r w:rsidR="00FC4BBD">
        <w:t>, and progress</w:t>
      </w:r>
      <w:r>
        <w:t xml:space="preserve">. </w:t>
      </w:r>
      <w:r w:rsidR="00FC4BBD">
        <w:t xml:space="preserve"> </w:t>
      </w:r>
      <w:r>
        <w:t xml:space="preserve">Based on background research, continuous monitoring and accelerated </w:t>
      </w:r>
      <w:r w:rsidR="00FC4BBD">
        <w:t>l</w:t>
      </w:r>
      <w:r>
        <w:t>earning, the Arkansas project has</w:t>
      </w:r>
      <w:r w:rsidR="00FC4BBD">
        <w:t xml:space="preserve"> built</w:t>
      </w:r>
      <w:r w:rsidR="003F749F">
        <w:t xml:space="preserve"> a</w:t>
      </w:r>
      <w:r w:rsidR="00FC4BBD">
        <w:t xml:space="preserve"> solid</w:t>
      </w:r>
      <w:r>
        <w:t xml:space="preserve"> foundation for Arkansas’s </w:t>
      </w:r>
      <w:r w:rsidR="008E6453">
        <w:t>Partnership Marketplace</w:t>
      </w:r>
      <w:r w:rsidR="00FC4BBD">
        <w:t xml:space="preserve"> while serving as a leader </w:t>
      </w:r>
      <w:r w:rsidR="003F749F">
        <w:t>in state-led Plan Management and Consumer Assistance functions</w:t>
      </w:r>
      <w:r w:rsidR="00FC4BBD">
        <w:t xml:space="preserve">. </w:t>
      </w:r>
    </w:p>
    <w:p w:rsidR="00FC4BBD" w:rsidRPr="00EF6AAA" w:rsidRDefault="00FC4BBD" w:rsidP="00976D17">
      <w:pPr>
        <w:pStyle w:val="NoSpacing"/>
      </w:pPr>
    </w:p>
    <w:p w:rsidR="00976D17" w:rsidRDefault="00661A64" w:rsidP="00976D17">
      <w:pPr>
        <w:pStyle w:val="NoSpacing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Key Partnership Dates</w:t>
      </w:r>
      <w:r w:rsidR="00CD575D">
        <w:rPr>
          <w:b/>
          <w:color w:val="1F497D" w:themeColor="text2"/>
          <w:sz w:val="28"/>
          <w:szCs w:val="28"/>
        </w:rPr>
        <w:t xml:space="preserve"> in 2013</w:t>
      </w:r>
    </w:p>
    <w:p w:rsidR="00976D17" w:rsidRPr="00207B73" w:rsidRDefault="00207B73" w:rsidP="00976D17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 w:rsidRPr="00207B73">
        <w:rPr>
          <w:color w:val="000000" w:themeColor="text1"/>
        </w:rPr>
        <w:t xml:space="preserve">January </w:t>
      </w:r>
      <w:r w:rsidR="00CD575D">
        <w:rPr>
          <w:color w:val="000000" w:themeColor="text1"/>
        </w:rPr>
        <w:t xml:space="preserve">- </w:t>
      </w:r>
      <w:r w:rsidR="003F749F">
        <w:rPr>
          <w:color w:val="000000" w:themeColor="text1"/>
        </w:rPr>
        <w:t>AR was granted</w:t>
      </w:r>
      <w:r w:rsidRPr="00207B73"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 w:rsidRPr="00207B73">
        <w:rPr>
          <w:color w:val="000000" w:themeColor="text1"/>
        </w:rPr>
        <w:t xml:space="preserve">onditional </w:t>
      </w:r>
      <w:r>
        <w:rPr>
          <w:color w:val="000000" w:themeColor="text1"/>
        </w:rPr>
        <w:t xml:space="preserve">approval from </w:t>
      </w:r>
      <w:r w:rsidR="00E775DE">
        <w:rPr>
          <w:color w:val="000000" w:themeColor="text1"/>
        </w:rPr>
        <w:t xml:space="preserve">U.S. </w:t>
      </w:r>
      <w:r>
        <w:rPr>
          <w:color w:val="000000" w:themeColor="text1"/>
        </w:rPr>
        <w:t xml:space="preserve">DHHS as </w:t>
      </w:r>
      <w:r w:rsidR="00FC4BBD">
        <w:rPr>
          <w:color w:val="000000" w:themeColor="text1"/>
        </w:rPr>
        <w:t xml:space="preserve">a </w:t>
      </w:r>
      <w:r>
        <w:rPr>
          <w:color w:val="000000" w:themeColor="text1"/>
        </w:rPr>
        <w:t>State Partnership Marketplace</w:t>
      </w:r>
      <w:r w:rsidR="00E775DE">
        <w:rPr>
          <w:color w:val="000000" w:themeColor="text1"/>
        </w:rPr>
        <w:t xml:space="preserve"> </w:t>
      </w:r>
    </w:p>
    <w:p w:rsidR="00CD575D" w:rsidRPr="00CD575D" w:rsidRDefault="00CD575D" w:rsidP="00CD575D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>
        <w:rPr>
          <w:color w:val="000000" w:themeColor="text1"/>
        </w:rPr>
        <w:t>February – Level One “C” funding application submitted</w:t>
      </w:r>
      <w:r w:rsidR="00E775DE">
        <w:rPr>
          <w:color w:val="000000" w:themeColor="text1"/>
        </w:rPr>
        <w:t>; Arkansas Health Connector l</w:t>
      </w:r>
      <w:r w:rsidR="0083233C">
        <w:rPr>
          <w:color w:val="000000" w:themeColor="text1"/>
        </w:rPr>
        <w:t>ogo developed</w:t>
      </w:r>
      <w:r w:rsidR="003F749F">
        <w:rPr>
          <w:color w:val="000000" w:themeColor="text1"/>
        </w:rPr>
        <w:t>;</w:t>
      </w:r>
      <w:r w:rsidR="00E775DE">
        <w:rPr>
          <w:color w:val="000000" w:themeColor="text1"/>
        </w:rPr>
        <w:t xml:space="preserve"> D</w:t>
      </w:r>
      <w:r w:rsidR="0083233C">
        <w:rPr>
          <w:color w:val="000000" w:themeColor="text1"/>
        </w:rPr>
        <w:t xml:space="preserve">irect mail/newspaper outreach to </w:t>
      </w:r>
      <w:r w:rsidR="00FC4BBD">
        <w:rPr>
          <w:color w:val="000000" w:themeColor="text1"/>
        </w:rPr>
        <w:t xml:space="preserve">recruit </w:t>
      </w:r>
      <w:r w:rsidR="0083233C">
        <w:rPr>
          <w:color w:val="000000" w:themeColor="text1"/>
        </w:rPr>
        <w:t>In-Person Assister Guide applicants</w:t>
      </w:r>
    </w:p>
    <w:p w:rsidR="00CD575D" w:rsidRPr="0083233C" w:rsidRDefault="00CD575D" w:rsidP="00CD575D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>
        <w:rPr>
          <w:color w:val="000000" w:themeColor="text1"/>
        </w:rPr>
        <w:t>March</w:t>
      </w:r>
      <w:r w:rsidR="004E0C8F">
        <w:rPr>
          <w:color w:val="000000" w:themeColor="text1"/>
        </w:rPr>
        <w:t xml:space="preserve"> – Released In-Person Assister Guide Entity and Ou</w:t>
      </w:r>
      <w:r w:rsidR="00E775DE">
        <w:rPr>
          <w:color w:val="000000" w:themeColor="text1"/>
        </w:rPr>
        <w:t>treach/Education vendor s</w:t>
      </w:r>
      <w:r w:rsidR="004E0C8F">
        <w:rPr>
          <w:color w:val="000000" w:themeColor="text1"/>
        </w:rPr>
        <w:t>olicitation</w:t>
      </w:r>
      <w:r w:rsidR="0083233C">
        <w:rPr>
          <w:color w:val="000000" w:themeColor="text1"/>
        </w:rPr>
        <w:t>s</w:t>
      </w:r>
    </w:p>
    <w:p w:rsidR="003F749F" w:rsidRPr="003F749F" w:rsidRDefault="0083233C" w:rsidP="0083233C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 w:rsidRPr="003F749F">
        <w:rPr>
          <w:color w:val="000000" w:themeColor="text1"/>
        </w:rPr>
        <w:t xml:space="preserve">April </w:t>
      </w:r>
      <w:r w:rsidR="00FC4BBD">
        <w:rPr>
          <w:color w:val="000000" w:themeColor="text1"/>
        </w:rPr>
        <w:t>–</w:t>
      </w:r>
      <w:r w:rsidRPr="003F749F">
        <w:rPr>
          <w:color w:val="000000" w:themeColor="text1"/>
        </w:rPr>
        <w:t xml:space="preserve"> </w:t>
      </w:r>
      <w:r w:rsidR="00FC4BBD">
        <w:rPr>
          <w:color w:val="000000" w:themeColor="text1"/>
        </w:rPr>
        <w:t xml:space="preserve">Awarded </w:t>
      </w:r>
      <w:r w:rsidR="00CD575D" w:rsidRPr="003F749F">
        <w:rPr>
          <w:color w:val="000000" w:themeColor="text1"/>
        </w:rPr>
        <w:t>Level One “C”</w:t>
      </w:r>
      <w:r w:rsidR="00207B73" w:rsidRPr="003F749F">
        <w:rPr>
          <w:color w:val="000000" w:themeColor="text1"/>
        </w:rPr>
        <w:t xml:space="preserve"> </w:t>
      </w:r>
      <w:r w:rsidR="00CD575D" w:rsidRPr="003F749F">
        <w:rPr>
          <w:color w:val="000000" w:themeColor="text1"/>
        </w:rPr>
        <w:t xml:space="preserve">funding </w:t>
      </w:r>
      <w:r w:rsidR="00E775DE">
        <w:rPr>
          <w:color w:val="000000" w:themeColor="text1"/>
        </w:rPr>
        <w:t xml:space="preserve">by DHHS </w:t>
      </w:r>
      <w:r w:rsidR="00661A64">
        <w:rPr>
          <w:color w:val="000000" w:themeColor="text1"/>
        </w:rPr>
        <w:t>C</w:t>
      </w:r>
      <w:r w:rsidR="00E775DE">
        <w:rPr>
          <w:color w:val="000000" w:themeColor="text1"/>
        </w:rPr>
        <w:t>enters for Medicaid and Medicare Services (C</w:t>
      </w:r>
      <w:r w:rsidR="00661A64">
        <w:rPr>
          <w:color w:val="000000" w:themeColor="text1"/>
        </w:rPr>
        <w:t>MS</w:t>
      </w:r>
      <w:r w:rsidR="00E775DE">
        <w:rPr>
          <w:color w:val="000000" w:themeColor="text1"/>
        </w:rPr>
        <w:t xml:space="preserve">), </w:t>
      </w:r>
      <w:r w:rsidR="00661A64">
        <w:rPr>
          <w:color w:val="000000" w:themeColor="text1"/>
        </w:rPr>
        <w:t>C</w:t>
      </w:r>
      <w:r w:rsidR="00E775DE">
        <w:rPr>
          <w:color w:val="000000" w:themeColor="text1"/>
        </w:rPr>
        <w:t>enter for Consumer Information and Insurance Oversight (C</w:t>
      </w:r>
      <w:r w:rsidR="00661A64">
        <w:rPr>
          <w:color w:val="000000" w:themeColor="text1"/>
        </w:rPr>
        <w:t>CIIO</w:t>
      </w:r>
      <w:r w:rsidR="00E775DE">
        <w:rPr>
          <w:color w:val="000000" w:themeColor="text1"/>
        </w:rPr>
        <w:t>)</w:t>
      </w:r>
      <w:r w:rsidR="00661A64">
        <w:rPr>
          <w:color w:val="000000" w:themeColor="text1"/>
        </w:rPr>
        <w:t xml:space="preserve"> </w:t>
      </w:r>
      <w:r w:rsidR="00207B73" w:rsidRPr="003F749F">
        <w:rPr>
          <w:color w:val="000000" w:themeColor="text1"/>
        </w:rPr>
        <w:t xml:space="preserve">for </w:t>
      </w:r>
      <w:r w:rsidR="00661A64">
        <w:rPr>
          <w:color w:val="000000" w:themeColor="text1"/>
        </w:rPr>
        <w:t>$16</w:t>
      </w:r>
      <w:r w:rsidR="00E775DE">
        <w:rPr>
          <w:color w:val="000000" w:themeColor="text1"/>
        </w:rPr>
        <w:t>.5 million</w:t>
      </w:r>
      <w:r w:rsidR="00207B73" w:rsidRPr="003F749F">
        <w:rPr>
          <w:color w:val="000000" w:themeColor="text1"/>
        </w:rPr>
        <w:t xml:space="preserve">  (MFG </w:t>
      </w:r>
      <w:r w:rsidR="00E775DE">
        <w:rPr>
          <w:color w:val="000000" w:themeColor="text1"/>
        </w:rPr>
        <w:t>appropriation review</w:t>
      </w:r>
      <w:r w:rsidR="00207B73" w:rsidRPr="003F749F">
        <w:rPr>
          <w:color w:val="000000" w:themeColor="text1"/>
        </w:rPr>
        <w:t xml:space="preserve"> 5/28/13)</w:t>
      </w:r>
      <w:r w:rsidR="00CD575D" w:rsidRPr="003F749F">
        <w:rPr>
          <w:color w:val="000000" w:themeColor="text1"/>
        </w:rPr>
        <w:t xml:space="preserve">; </w:t>
      </w:r>
      <w:r w:rsidR="00CD575D" w:rsidRPr="003F749F">
        <w:rPr>
          <w:color w:val="1F497D" w:themeColor="text2"/>
          <w:sz w:val="28"/>
          <w:szCs w:val="28"/>
        </w:rPr>
        <w:t xml:space="preserve"> </w:t>
      </w:r>
      <w:r w:rsidR="004E0C8F">
        <w:t xml:space="preserve">Arkansas Team met with </w:t>
      </w:r>
      <w:r w:rsidR="003F749F">
        <w:t>CMS</w:t>
      </w:r>
      <w:r w:rsidR="004E0C8F">
        <w:t xml:space="preserve"> about Private Option</w:t>
      </w:r>
      <w:r w:rsidR="002939CB">
        <w:t xml:space="preserve">; Outreach </w:t>
      </w:r>
      <w:r w:rsidR="00E775DE">
        <w:t>&amp; Education a</w:t>
      </w:r>
      <w:r w:rsidR="002939CB">
        <w:t xml:space="preserve">nticipation to award announced </w:t>
      </w:r>
    </w:p>
    <w:p w:rsidR="00CF0457" w:rsidRPr="00E775DE" w:rsidRDefault="00CF0457" w:rsidP="00AD61EE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 w:rsidRPr="003F749F">
        <w:rPr>
          <w:color w:val="000000" w:themeColor="text1"/>
        </w:rPr>
        <w:t xml:space="preserve">May – </w:t>
      </w:r>
      <w:r w:rsidR="00AD61EE" w:rsidRPr="003F749F">
        <w:rPr>
          <w:color w:val="000000" w:themeColor="text1"/>
        </w:rPr>
        <w:t xml:space="preserve">Staff attended a CCIIO </w:t>
      </w:r>
      <w:r w:rsidR="00CA516F">
        <w:rPr>
          <w:color w:val="000000" w:themeColor="text1"/>
        </w:rPr>
        <w:t>meeting</w:t>
      </w:r>
      <w:r w:rsidR="00E775DE">
        <w:rPr>
          <w:color w:val="000000" w:themeColor="text1"/>
        </w:rPr>
        <w:t xml:space="preserve"> with other SPM states;</w:t>
      </w:r>
      <w:r w:rsidR="00E775DE">
        <w:rPr>
          <w:color w:val="1F497D" w:themeColor="text2"/>
          <w:sz w:val="28"/>
          <w:szCs w:val="28"/>
        </w:rPr>
        <w:t xml:space="preserve"> </w:t>
      </w:r>
      <w:r w:rsidRPr="00E775DE">
        <w:rPr>
          <w:color w:val="000000" w:themeColor="text1"/>
        </w:rPr>
        <w:t>Contract</w:t>
      </w:r>
      <w:r w:rsidR="00CA516F" w:rsidRPr="00E775DE">
        <w:rPr>
          <w:color w:val="000000" w:themeColor="text1"/>
        </w:rPr>
        <w:t>ed</w:t>
      </w:r>
      <w:r w:rsidRPr="00E775DE">
        <w:rPr>
          <w:color w:val="000000" w:themeColor="text1"/>
        </w:rPr>
        <w:t xml:space="preserve"> with A</w:t>
      </w:r>
      <w:r w:rsidR="00E775DE" w:rsidRPr="00E775DE">
        <w:rPr>
          <w:color w:val="000000" w:themeColor="text1"/>
        </w:rPr>
        <w:t>rkansas Department of Higher Education (A</w:t>
      </w:r>
      <w:r w:rsidRPr="00E775DE">
        <w:rPr>
          <w:color w:val="000000" w:themeColor="text1"/>
        </w:rPr>
        <w:t>DHE</w:t>
      </w:r>
      <w:r w:rsidR="00E775DE" w:rsidRPr="00E775DE">
        <w:rPr>
          <w:color w:val="000000" w:themeColor="text1"/>
        </w:rPr>
        <w:t>)</w:t>
      </w:r>
      <w:r w:rsidR="002939CB" w:rsidRPr="00E775DE">
        <w:rPr>
          <w:color w:val="000000" w:themeColor="text1"/>
        </w:rPr>
        <w:t xml:space="preserve"> </w:t>
      </w:r>
      <w:r w:rsidR="00E775DE" w:rsidRPr="00E775DE">
        <w:rPr>
          <w:color w:val="000000" w:themeColor="text1"/>
        </w:rPr>
        <w:t xml:space="preserve">and Arkansas Association of Two Year Colleges </w:t>
      </w:r>
      <w:r w:rsidR="00E775DE">
        <w:rPr>
          <w:color w:val="000000" w:themeColor="text1"/>
        </w:rPr>
        <w:t xml:space="preserve">(AATYC) for In-Person Assister </w:t>
      </w:r>
      <w:r w:rsidR="002939CB" w:rsidRPr="00E775DE">
        <w:rPr>
          <w:color w:val="000000" w:themeColor="text1"/>
        </w:rPr>
        <w:t>Train</w:t>
      </w:r>
      <w:r w:rsidRPr="00E775DE">
        <w:rPr>
          <w:color w:val="000000" w:themeColor="text1"/>
        </w:rPr>
        <w:t>ing</w:t>
      </w:r>
      <w:r w:rsidR="00E775DE">
        <w:rPr>
          <w:color w:val="000000" w:themeColor="text1"/>
        </w:rPr>
        <w:t xml:space="preserve"> for 637 Guides; </w:t>
      </w:r>
      <w:r w:rsidR="00E775DE" w:rsidRPr="00E775DE">
        <w:rPr>
          <w:color w:val="000000" w:themeColor="text1"/>
        </w:rPr>
        <w:t>P</w:t>
      </w:r>
      <w:r w:rsidR="00CA516F" w:rsidRPr="00E775DE">
        <w:rPr>
          <w:color w:val="000000" w:themeColor="text1"/>
        </w:rPr>
        <w:t>ending contracts</w:t>
      </w:r>
      <w:r w:rsidR="002939CB" w:rsidRPr="00E775DE">
        <w:rPr>
          <w:color w:val="000000" w:themeColor="text1"/>
        </w:rPr>
        <w:t xml:space="preserve"> with </w:t>
      </w:r>
      <w:r w:rsidRPr="00E775DE">
        <w:rPr>
          <w:color w:val="000000" w:themeColor="text1"/>
        </w:rPr>
        <w:t xml:space="preserve">30 </w:t>
      </w:r>
      <w:r w:rsidR="002939CB" w:rsidRPr="00E775DE">
        <w:rPr>
          <w:color w:val="000000" w:themeColor="text1"/>
        </w:rPr>
        <w:t>“</w:t>
      </w:r>
      <w:r w:rsidRPr="00E775DE">
        <w:rPr>
          <w:color w:val="000000" w:themeColor="text1"/>
        </w:rPr>
        <w:t>Guides</w:t>
      </w:r>
      <w:r w:rsidR="002939CB" w:rsidRPr="00E775DE">
        <w:rPr>
          <w:color w:val="000000" w:themeColor="text1"/>
        </w:rPr>
        <w:t>”</w:t>
      </w:r>
      <w:r w:rsidRPr="00E775DE">
        <w:rPr>
          <w:color w:val="000000" w:themeColor="text1"/>
        </w:rPr>
        <w:t xml:space="preserve"> organizations</w:t>
      </w:r>
      <w:r w:rsidR="002939CB" w:rsidRPr="00E775DE">
        <w:rPr>
          <w:color w:val="000000" w:themeColor="text1"/>
        </w:rPr>
        <w:t xml:space="preserve"> (see attachment) and </w:t>
      </w:r>
      <w:proofErr w:type="spellStart"/>
      <w:r w:rsidRPr="00E775DE">
        <w:rPr>
          <w:color w:val="000000" w:themeColor="text1"/>
        </w:rPr>
        <w:t>Mangan</w:t>
      </w:r>
      <w:proofErr w:type="spellEnd"/>
      <w:r w:rsidRPr="00E775DE">
        <w:rPr>
          <w:color w:val="000000" w:themeColor="text1"/>
        </w:rPr>
        <w:t xml:space="preserve"> Holcomb Partners for statewide campaign</w:t>
      </w:r>
    </w:p>
    <w:p w:rsidR="004E0C8F" w:rsidRPr="004E0C8F" w:rsidRDefault="00CD575D" w:rsidP="00976D17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 w:rsidRPr="004E0C8F">
        <w:rPr>
          <w:color w:val="000000" w:themeColor="text1"/>
        </w:rPr>
        <w:t>June</w:t>
      </w:r>
      <w:r w:rsidR="004E0C8F" w:rsidRPr="004E0C8F">
        <w:rPr>
          <w:color w:val="000000" w:themeColor="text1"/>
        </w:rPr>
        <w:t xml:space="preserve"> </w:t>
      </w:r>
      <w:r w:rsidRPr="004E0C8F">
        <w:rPr>
          <w:color w:val="000000" w:themeColor="text1"/>
        </w:rPr>
        <w:t>–</w:t>
      </w:r>
      <w:r w:rsidR="00CF0457">
        <w:rPr>
          <w:color w:val="000000" w:themeColor="text1"/>
        </w:rPr>
        <w:t xml:space="preserve"> Arkansas Team </w:t>
      </w:r>
      <w:r w:rsidR="003F749F">
        <w:rPr>
          <w:color w:val="000000" w:themeColor="text1"/>
        </w:rPr>
        <w:t>to attend</w:t>
      </w:r>
      <w:r w:rsidR="00CF0457">
        <w:rPr>
          <w:color w:val="000000" w:themeColor="text1"/>
        </w:rPr>
        <w:t xml:space="preserve"> CCIIO Implementation Review in Baltimore</w:t>
      </w:r>
      <w:r w:rsidR="003F749F">
        <w:rPr>
          <w:color w:val="000000" w:themeColor="text1"/>
        </w:rPr>
        <w:t xml:space="preserve"> on June 19</w:t>
      </w:r>
      <w:r w:rsidR="00CF0457">
        <w:rPr>
          <w:color w:val="000000" w:themeColor="text1"/>
        </w:rPr>
        <w:t xml:space="preserve">; </w:t>
      </w:r>
      <w:r w:rsidRPr="004E0C8F">
        <w:rPr>
          <w:color w:val="000000" w:themeColor="text1"/>
        </w:rPr>
        <w:t xml:space="preserve">Qualified Health </w:t>
      </w:r>
      <w:r w:rsidR="004E0C8F" w:rsidRPr="004E0C8F">
        <w:rPr>
          <w:color w:val="000000" w:themeColor="text1"/>
        </w:rPr>
        <w:t>Plan</w:t>
      </w:r>
      <w:r w:rsidR="00E775DE">
        <w:rPr>
          <w:color w:val="000000" w:themeColor="text1"/>
        </w:rPr>
        <w:t xml:space="preserve"> (QHP)</w:t>
      </w:r>
      <w:r w:rsidR="004E0C8F" w:rsidRPr="004E0C8F">
        <w:rPr>
          <w:color w:val="000000" w:themeColor="text1"/>
        </w:rPr>
        <w:t xml:space="preserve"> applications due</w:t>
      </w:r>
      <w:r w:rsidR="00CF0457">
        <w:rPr>
          <w:color w:val="000000" w:themeColor="text1"/>
        </w:rPr>
        <w:t xml:space="preserve"> to AID June 30; IPA Guide</w:t>
      </w:r>
      <w:r w:rsidR="004E0C8F" w:rsidRPr="004E0C8F">
        <w:rPr>
          <w:color w:val="000000" w:themeColor="text1"/>
        </w:rPr>
        <w:t xml:space="preserve"> Training begins</w:t>
      </w:r>
      <w:r w:rsidR="004E0C8F">
        <w:rPr>
          <w:color w:val="000000" w:themeColor="text1"/>
        </w:rPr>
        <w:t xml:space="preserve"> (Phase I)</w:t>
      </w:r>
      <w:r w:rsidR="00CF0457">
        <w:rPr>
          <w:color w:val="000000" w:themeColor="text1"/>
        </w:rPr>
        <w:t>; Arkansas Health Connector Resource Center readies for increased activity</w:t>
      </w:r>
    </w:p>
    <w:p w:rsidR="00CD575D" w:rsidRPr="004E0C8F" w:rsidRDefault="00CD575D" w:rsidP="00976D17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 w:rsidRPr="004E0C8F">
        <w:rPr>
          <w:color w:val="000000" w:themeColor="text1"/>
        </w:rPr>
        <w:t>July</w:t>
      </w:r>
      <w:r w:rsidR="004E0C8F">
        <w:rPr>
          <w:color w:val="000000" w:themeColor="text1"/>
        </w:rPr>
        <w:t xml:space="preserve"> </w:t>
      </w:r>
      <w:r w:rsidRPr="004E0C8F">
        <w:rPr>
          <w:color w:val="000000" w:themeColor="text1"/>
        </w:rPr>
        <w:t xml:space="preserve">– Statewide multi-media campaign and </w:t>
      </w:r>
      <w:r w:rsidR="00CF0457">
        <w:rPr>
          <w:color w:val="000000" w:themeColor="text1"/>
        </w:rPr>
        <w:t xml:space="preserve">Arkansas Health Connector </w:t>
      </w:r>
      <w:r w:rsidRPr="004E0C8F">
        <w:rPr>
          <w:color w:val="000000" w:themeColor="text1"/>
        </w:rPr>
        <w:t xml:space="preserve">Speakers’ Bureau </w:t>
      </w:r>
      <w:r w:rsidR="003F749F">
        <w:rPr>
          <w:color w:val="000000" w:themeColor="text1"/>
        </w:rPr>
        <w:t>(A</w:t>
      </w:r>
      <w:r w:rsidR="008E6453">
        <w:rPr>
          <w:color w:val="000000" w:themeColor="text1"/>
        </w:rPr>
        <w:t>rkansas Department of Health (A</w:t>
      </w:r>
      <w:r w:rsidR="003F749F">
        <w:rPr>
          <w:color w:val="000000" w:themeColor="text1"/>
        </w:rPr>
        <w:t>DH</w:t>
      </w:r>
      <w:r w:rsidR="008E6453">
        <w:rPr>
          <w:color w:val="000000" w:themeColor="text1"/>
        </w:rPr>
        <w:t xml:space="preserve">), Arkansas </w:t>
      </w:r>
      <w:r w:rsidR="003F749F">
        <w:rPr>
          <w:color w:val="000000" w:themeColor="text1"/>
        </w:rPr>
        <w:t>Minority Health Commission, U of A Partners for Inclusive Communities) to be l</w:t>
      </w:r>
      <w:r w:rsidRPr="004E0C8F">
        <w:rPr>
          <w:color w:val="000000" w:themeColor="text1"/>
        </w:rPr>
        <w:t>aunched</w:t>
      </w:r>
      <w:r w:rsidR="004E0C8F">
        <w:rPr>
          <w:color w:val="000000" w:themeColor="text1"/>
        </w:rPr>
        <w:t xml:space="preserve">; Arkansas Partnership </w:t>
      </w:r>
      <w:r w:rsidR="003F749F">
        <w:rPr>
          <w:color w:val="000000" w:themeColor="text1"/>
        </w:rPr>
        <w:t>to submit</w:t>
      </w:r>
      <w:r w:rsidR="004E0C8F">
        <w:rPr>
          <w:color w:val="000000" w:themeColor="text1"/>
        </w:rPr>
        <w:t xml:space="preserve"> approved QHPs to DHHS for final review and approval</w:t>
      </w:r>
      <w:r w:rsidR="00E775DE">
        <w:rPr>
          <w:color w:val="000000" w:themeColor="text1"/>
        </w:rPr>
        <w:t>; Evaluation vendor request for proposal (RFP) to be released</w:t>
      </w:r>
    </w:p>
    <w:p w:rsidR="00CD575D" w:rsidRPr="00CD575D" w:rsidRDefault="004E0C8F" w:rsidP="00976D17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>
        <w:rPr>
          <w:color w:val="000000" w:themeColor="text1"/>
        </w:rPr>
        <w:t xml:space="preserve">August </w:t>
      </w:r>
      <w:r w:rsidR="00CD575D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Guides, Navigators, Certified Application Counselors, and Licensed Producers federal training is complete (Phase II)  and </w:t>
      </w:r>
      <w:r w:rsidR="00E775DE">
        <w:rPr>
          <w:color w:val="000000" w:themeColor="text1"/>
        </w:rPr>
        <w:t>c</w:t>
      </w:r>
      <w:r w:rsidR="00CD575D">
        <w:rPr>
          <w:color w:val="000000" w:themeColor="text1"/>
        </w:rPr>
        <w:t xml:space="preserve">ertified QHPs check their plans on federal website </w:t>
      </w:r>
    </w:p>
    <w:p w:rsidR="00CD575D" w:rsidRPr="00CF0457" w:rsidRDefault="00CF0457" w:rsidP="00976D17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>
        <w:rPr>
          <w:color w:val="000000" w:themeColor="text1"/>
        </w:rPr>
        <w:t>September</w:t>
      </w:r>
      <w:r w:rsidR="00CD575D">
        <w:rPr>
          <w:color w:val="000000" w:themeColor="text1"/>
        </w:rPr>
        <w:t xml:space="preserve"> - QHPs sign contracts</w:t>
      </w:r>
      <w:r>
        <w:rPr>
          <w:color w:val="000000" w:themeColor="text1"/>
        </w:rPr>
        <w:t xml:space="preserve"> for Marketplace participation; Arkansas specific (Phase III) IPA training is complete and IPAs licensed; “Get Enrolled” campaign begins</w:t>
      </w:r>
    </w:p>
    <w:p w:rsidR="00976D17" w:rsidRPr="0083233C" w:rsidRDefault="00CF0457" w:rsidP="006744B7">
      <w:pPr>
        <w:pStyle w:val="NoSpacing"/>
        <w:numPr>
          <w:ilvl w:val="0"/>
          <w:numId w:val="11"/>
        </w:numPr>
        <w:rPr>
          <w:color w:val="1F497D" w:themeColor="text2"/>
          <w:sz w:val="28"/>
          <w:szCs w:val="28"/>
        </w:rPr>
      </w:pPr>
      <w:r>
        <w:rPr>
          <w:color w:val="000000" w:themeColor="text1"/>
        </w:rPr>
        <w:t>October 1 – March 31</w:t>
      </w:r>
      <w:r w:rsidR="00E775DE">
        <w:rPr>
          <w:color w:val="000000" w:themeColor="text1"/>
        </w:rPr>
        <w:t xml:space="preserve">, 2014 </w:t>
      </w:r>
      <w:r>
        <w:rPr>
          <w:color w:val="000000" w:themeColor="text1"/>
        </w:rPr>
        <w:t xml:space="preserve"> – QHP Open Enrollment with full coverage beginning January 1, 2014</w:t>
      </w:r>
    </w:p>
    <w:p w:rsidR="003F749F" w:rsidRDefault="003F749F" w:rsidP="006744B7">
      <w:pPr>
        <w:pStyle w:val="NoSpacing"/>
        <w:rPr>
          <w:b/>
          <w:color w:val="1F497D" w:themeColor="text2"/>
          <w:sz w:val="28"/>
          <w:szCs w:val="28"/>
        </w:rPr>
      </w:pPr>
    </w:p>
    <w:p w:rsidR="006744B7" w:rsidRPr="00700CD7" w:rsidRDefault="00A37147" w:rsidP="006744B7">
      <w:pPr>
        <w:pStyle w:val="NoSpacing"/>
        <w:rPr>
          <w:b/>
          <w:color w:val="1F497D" w:themeColor="text2"/>
          <w:sz w:val="28"/>
          <w:szCs w:val="28"/>
        </w:rPr>
      </w:pPr>
      <w:r w:rsidRPr="00700CD7">
        <w:rPr>
          <w:b/>
          <w:color w:val="1F497D" w:themeColor="text2"/>
          <w:sz w:val="28"/>
          <w:szCs w:val="28"/>
        </w:rPr>
        <w:t>Consumer Assistance</w:t>
      </w:r>
    </w:p>
    <w:p w:rsidR="0083233C" w:rsidRDefault="0083233C" w:rsidP="0083233C">
      <w:pPr>
        <w:pStyle w:val="NoSpacing"/>
        <w:ind w:left="720"/>
      </w:pPr>
    </w:p>
    <w:p w:rsidR="000E713D" w:rsidRDefault="0083233C" w:rsidP="000E713D">
      <w:pPr>
        <w:pStyle w:val="NoSpacing"/>
        <w:numPr>
          <w:ilvl w:val="0"/>
          <w:numId w:val="1"/>
        </w:numPr>
      </w:pPr>
      <w:r>
        <w:t xml:space="preserve">The Arkansas Health Connector </w:t>
      </w:r>
      <w:r w:rsidR="00FD3B65">
        <w:t xml:space="preserve">logo will be on all </w:t>
      </w:r>
      <w:r w:rsidR="0023006E">
        <w:t xml:space="preserve">promotional and educational </w:t>
      </w:r>
      <w:r w:rsidR="00FD3B65">
        <w:t>materials dis</w:t>
      </w:r>
      <w:r w:rsidR="0023006E">
        <w:t xml:space="preserve">tributed to </w:t>
      </w:r>
      <w:r w:rsidR="00FD3B65">
        <w:t>the public, sp</w:t>
      </w:r>
      <w:r w:rsidR="00E0058F">
        <w:t>ecifically</w:t>
      </w:r>
      <w:r w:rsidR="006C7729">
        <w:t xml:space="preserve"> potential consumers.  Familiarity with this logo will </w:t>
      </w:r>
      <w:r w:rsidR="00E0058F">
        <w:t>serve a</w:t>
      </w:r>
      <w:r w:rsidR="008E6453">
        <w:t>s</w:t>
      </w:r>
      <w:r w:rsidR="00E0058F">
        <w:t xml:space="preserve"> consumer protection</w:t>
      </w:r>
      <w:r w:rsidR="006C7729">
        <w:t xml:space="preserve"> as well as marketing</w:t>
      </w:r>
      <w:r w:rsidR="00E0058F">
        <w:t xml:space="preserve"> function. </w:t>
      </w:r>
      <w:r w:rsidR="006C7729">
        <w:t>T</w:t>
      </w:r>
      <w:r w:rsidR="00E0058F">
        <w:t>he Arkansas Health Co</w:t>
      </w:r>
      <w:r w:rsidR="00E775DE">
        <w:t xml:space="preserve">nnector Resource Center will </w:t>
      </w:r>
      <w:r w:rsidR="00E0058F">
        <w:t>assist consumers with questions and connecting with appropriate resources.</w:t>
      </w:r>
    </w:p>
    <w:p w:rsidR="000E713D" w:rsidRDefault="000E713D" w:rsidP="000E713D">
      <w:pPr>
        <w:pStyle w:val="NoSpacing"/>
        <w:ind w:left="720"/>
      </w:pPr>
    </w:p>
    <w:p w:rsidR="000E713D" w:rsidRDefault="000E713D" w:rsidP="00E775DE">
      <w:pPr>
        <w:pStyle w:val="NoSpacing"/>
        <w:numPr>
          <w:ilvl w:val="0"/>
          <w:numId w:val="1"/>
        </w:numPr>
      </w:pPr>
      <w:r>
        <w:t>The AID is</w:t>
      </w:r>
      <w:r w:rsidR="00E0058F">
        <w:t xml:space="preserve"> </w:t>
      </w:r>
      <w:r w:rsidR="00E775DE">
        <w:t xml:space="preserve">working to </w:t>
      </w:r>
      <w:r w:rsidR="00E0058F">
        <w:t>c</w:t>
      </w:r>
      <w:r w:rsidR="00E775DE">
        <w:t>ontract</w:t>
      </w:r>
      <w:r w:rsidR="00E0058F">
        <w:t xml:space="preserve"> with 30 vendors </w:t>
      </w:r>
      <w:r>
        <w:t xml:space="preserve">across Arkansas </w:t>
      </w:r>
      <w:r w:rsidR="00E0058F">
        <w:t>to hire 637 “Guides”</w:t>
      </w:r>
      <w:r>
        <w:t xml:space="preserve"> to serve uninsured residents in all 75 counties</w:t>
      </w:r>
      <w:r w:rsidR="00E0058F">
        <w:t xml:space="preserve">.  </w:t>
      </w:r>
      <w:r>
        <w:t xml:space="preserve">One hundred </w:t>
      </w:r>
      <w:r w:rsidR="008551FB">
        <w:t xml:space="preserve">(100) </w:t>
      </w:r>
      <w:r>
        <w:t>of these Guides will target Private Option eligible Arkansans</w:t>
      </w:r>
      <w:r w:rsidR="00E775DE">
        <w:t xml:space="preserve"> with funding provided through Arkansas DHS</w:t>
      </w:r>
      <w:r>
        <w:t xml:space="preserve">.  </w:t>
      </w:r>
      <w:r w:rsidR="00E0058F">
        <w:t>E</w:t>
      </w:r>
      <w:r w:rsidR="00E0058F" w:rsidRPr="001A64A5">
        <w:t xml:space="preserve">ach vendor will receive funding </w:t>
      </w:r>
      <w:r w:rsidR="00E0058F">
        <w:t xml:space="preserve">for a specific number of </w:t>
      </w:r>
      <w:r>
        <w:t>Guides who are expected to be trusted members of their community and provide accurate and unbiased information to</w:t>
      </w:r>
      <w:r w:rsidR="008551FB">
        <w:t xml:space="preserve"> eligible families and small business employees </w:t>
      </w:r>
      <w:r w:rsidR="00E775DE">
        <w:t xml:space="preserve">in ways they can understand as it is critical that uninsured Arkansans learn about their coverage options.  </w:t>
      </w:r>
      <w:r w:rsidR="00EF6AAA">
        <w:t xml:space="preserve">Consultants from Public Consulting Group (PCG) helped with Arkansas Guide Program development.  </w:t>
      </w:r>
    </w:p>
    <w:p w:rsidR="00E775DE" w:rsidRDefault="00E775DE" w:rsidP="00E775DE">
      <w:pPr>
        <w:pStyle w:val="NoSpacing"/>
        <w:ind w:left="720"/>
      </w:pPr>
    </w:p>
    <w:p w:rsidR="00C30654" w:rsidRDefault="00FD3B65" w:rsidP="006744B7">
      <w:pPr>
        <w:pStyle w:val="NoSpacing"/>
        <w:numPr>
          <w:ilvl w:val="0"/>
          <w:numId w:val="1"/>
        </w:numPr>
      </w:pPr>
      <w:r>
        <w:t xml:space="preserve">We are partnering with the </w:t>
      </w:r>
      <w:r w:rsidR="00E775DE">
        <w:t xml:space="preserve">ADHE </w:t>
      </w:r>
      <w:r>
        <w:t xml:space="preserve">and the </w:t>
      </w:r>
      <w:r w:rsidR="00E775DE">
        <w:t xml:space="preserve">AATYC </w:t>
      </w:r>
      <w:r w:rsidR="00C30654">
        <w:t>to provid</w:t>
      </w:r>
      <w:r w:rsidR="001A64A5">
        <w:t xml:space="preserve">e training for the </w:t>
      </w:r>
      <w:r w:rsidR="007A71AE">
        <w:t>637</w:t>
      </w:r>
      <w:r w:rsidR="00C30654">
        <w:t xml:space="preserve"> Guides </w:t>
      </w:r>
      <w:r w:rsidR="00E775DE">
        <w:t xml:space="preserve">and other “assisters” that will be </w:t>
      </w:r>
      <w:r w:rsidR="0023006E">
        <w:t xml:space="preserve">needed to reach all areas of the state. </w:t>
      </w:r>
      <w:r w:rsidR="00E775DE">
        <w:t xml:space="preserve"> Phase I and Phase III </w:t>
      </w:r>
      <w:r w:rsidR="00C30654">
        <w:t>training will occur at 22 community colleges</w:t>
      </w:r>
      <w:r w:rsidR="002939CB">
        <w:t xml:space="preserve"> and one 4 year college</w:t>
      </w:r>
      <w:r w:rsidR="00C30654">
        <w:t xml:space="preserve"> throughout the state </w:t>
      </w:r>
      <w:r w:rsidR="00E775DE">
        <w:t xml:space="preserve">as well as through the Internet, </w:t>
      </w:r>
      <w:r w:rsidR="00CA516F">
        <w:t xml:space="preserve">and lead to the Navigator/Non-Navigator licensure as set forth </w:t>
      </w:r>
      <w:r w:rsidR="00CA516F" w:rsidRPr="00E775DE">
        <w:t xml:space="preserve">by </w:t>
      </w:r>
      <w:r w:rsidR="00E775DE" w:rsidRPr="00E775DE">
        <w:t>Act 1439 of</w:t>
      </w:r>
      <w:r w:rsidR="00E775DE">
        <w:t xml:space="preserve"> 2013.</w:t>
      </w:r>
      <w:r w:rsidR="008E6453">
        <w:t xml:space="preserve">  Phase II, also required for Arkansas licensure, is provided via Internet training by the federal Marketplace.</w:t>
      </w:r>
    </w:p>
    <w:p w:rsidR="002939CB" w:rsidRDefault="002939CB" w:rsidP="002939CB">
      <w:pPr>
        <w:pStyle w:val="ListParagraph"/>
      </w:pPr>
    </w:p>
    <w:tbl>
      <w:tblPr>
        <w:tblW w:w="6194" w:type="dxa"/>
        <w:tblInd w:w="18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6"/>
        <w:gridCol w:w="1586"/>
        <w:gridCol w:w="1184"/>
        <w:gridCol w:w="860"/>
        <w:gridCol w:w="1238"/>
      </w:tblGrid>
      <w:tr w:rsidR="00E0058F" w:rsidRPr="00E0058F" w:rsidTr="00E0058F">
        <w:trPr>
          <w:trHeight w:val="81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IPA Type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Agents/Brokers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Navigators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Guides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Certified Application Counselors</w:t>
            </w:r>
          </w:p>
        </w:tc>
      </w:tr>
      <w:tr w:rsidR="00E0058F" w:rsidRPr="00E0058F" w:rsidTr="00E0058F">
        <w:trPr>
          <w:trHeight w:val="69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Phase I (State)</w:t>
            </w:r>
          </w:p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June/July</w:t>
            </w:r>
          </w:p>
        </w:tc>
        <w:tc>
          <w:tcPr>
            <w:tcW w:w="15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058F" w:rsidRPr="00E0058F" w:rsidTr="00E0058F">
        <w:trPr>
          <w:trHeight w:val="79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Phase II (Fed)</w:t>
            </w:r>
          </w:p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July/August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</w:tr>
      <w:tr w:rsidR="00E0058F" w:rsidRPr="00E0058F" w:rsidTr="00E0058F">
        <w:trPr>
          <w:trHeight w:val="73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Phase III (State)</w:t>
            </w:r>
          </w:p>
          <w:p w:rsidR="002939CB" w:rsidRPr="002939CB" w:rsidRDefault="002939CB" w:rsidP="002939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August/Sept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39CB" w:rsidRPr="002939CB" w:rsidRDefault="002939CB" w:rsidP="002939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39CB">
              <w:rPr>
                <w:rFonts w:eastAsia="Times New Roman" w:cs="Arial"/>
                <w:b/>
                <w:bCs/>
                <w:color w:val="000000" w:themeColor="dark1"/>
                <w:kern w:val="24"/>
                <w:sz w:val="20"/>
                <w:szCs w:val="20"/>
              </w:rPr>
              <w:t>X</w:t>
            </w:r>
          </w:p>
        </w:tc>
      </w:tr>
    </w:tbl>
    <w:p w:rsidR="002939CB" w:rsidRPr="00E0058F" w:rsidRDefault="002939CB" w:rsidP="002939CB">
      <w:pPr>
        <w:pStyle w:val="ListParagraph"/>
        <w:rPr>
          <w:sz w:val="20"/>
          <w:szCs w:val="20"/>
        </w:rPr>
      </w:pPr>
    </w:p>
    <w:p w:rsidR="002939CB" w:rsidRPr="00E0058F" w:rsidRDefault="002939CB" w:rsidP="002939CB">
      <w:pPr>
        <w:pStyle w:val="NoSpacing"/>
        <w:rPr>
          <w:sz w:val="20"/>
          <w:szCs w:val="20"/>
        </w:rPr>
      </w:pPr>
    </w:p>
    <w:p w:rsidR="007B2C2E" w:rsidRPr="00D71E22" w:rsidRDefault="001A64A5" w:rsidP="006744B7">
      <w:pPr>
        <w:pStyle w:val="NoSpacing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>
        <w:t xml:space="preserve">The </w:t>
      </w:r>
      <w:r w:rsidR="008551FB">
        <w:t xml:space="preserve">Arkansas Health Connector </w:t>
      </w:r>
      <w:r>
        <w:t>advertising and marketing</w:t>
      </w:r>
      <w:r w:rsidR="0023006E">
        <w:t xml:space="preserve"> campaign i</w:t>
      </w:r>
      <w:r>
        <w:t xml:space="preserve">s part of the </w:t>
      </w:r>
      <w:r w:rsidR="00E775DE">
        <w:t xml:space="preserve">State </w:t>
      </w:r>
      <w:r w:rsidR="008551FB">
        <w:t xml:space="preserve">Partnership Marketplace </w:t>
      </w:r>
      <w:r w:rsidR="00B05AA1">
        <w:t>outreach and e</w:t>
      </w:r>
      <w:r>
        <w:t>ducation effort</w:t>
      </w:r>
      <w:r w:rsidR="0023006E">
        <w:t>.</w:t>
      </w:r>
      <w:r>
        <w:t xml:space="preserve"> </w:t>
      </w:r>
      <w:r w:rsidR="008551FB">
        <w:t xml:space="preserve"> </w:t>
      </w:r>
      <w:proofErr w:type="spellStart"/>
      <w:r>
        <w:t>Mangan</w:t>
      </w:r>
      <w:proofErr w:type="spellEnd"/>
      <w:r>
        <w:t xml:space="preserve"> Holcomb Partners</w:t>
      </w:r>
      <w:r w:rsidR="00B05AA1">
        <w:t xml:space="preserve">, the primary vendor, is awaiting contract </w:t>
      </w:r>
      <w:r w:rsidR="008551FB">
        <w:t>approval</w:t>
      </w:r>
      <w:r w:rsidR="00B05AA1">
        <w:t xml:space="preserve"> for this program</w:t>
      </w:r>
      <w:r>
        <w:t>. The firm’s</w:t>
      </w:r>
      <w:r w:rsidRPr="001A64A5">
        <w:t xml:space="preserve"> </w:t>
      </w:r>
      <w:r w:rsidR="007B2C2E">
        <w:t xml:space="preserve">marketing </w:t>
      </w:r>
      <w:r w:rsidRPr="001A64A5">
        <w:t xml:space="preserve">plans include targeting </w:t>
      </w:r>
      <w:r w:rsidR="00E775DE">
        <w:t xml:space="preserve">individuals, families, and </w:t>
      </w:r>
      <w:r w:rsidRPr="001A64A5">
        <w:t xml:space="preserve">small </w:t>
      </w:r>
      <w:r w:rsidR="0023006E">
        <w:t>bu</w:t>
      </w:r>
      <w:r w:rsidRPr="001A64A5">
        <w:t>siness</w:t>
      </w:r>
      <w:r w:rsidR="008551FB">
        <w:t>es</w:t>
      </w:r>
      <w:r w:rsidRPr="001A64A5">
        <w:t xml:space="preserve"> to build a support network for pe</w:t>
      </w:r>
      <w:r w:rsidR="008551FB">
        <w:t>ople to learn about the Marketplace</w:t>
      </w:r>
      <w:r w:rsidR="00B05AA1">
        <w:t xml:space="preserve">.  Their approach is </w:t>
      </w:r>
      <w:r w:rsidR="007B2C2E">
        <w:t>“</w:t>
      </w:r>
      <w:r w:rsidR="00B05AA1">
        <w:t xml:space="preserve">local </w:t>
      </w:r>
      <w:r w:rsidRPr="001A64A5">
        <w:t xml:space="preserve">and </w:t>
      </w:r>
      <w:r w:rsidR="00B05AA1">
        <w:t>personal</w:t>
      </w:r>
      <w:r w:rsidR="007B2C2E">
        <w:t>”</w:t>
      </w:r>
      <w:r w:rsidR="00B05AA1">
        <w:t xml:space="preserve"> </w:t>
      </w:r>
      <w:r w:rsidR="007B2C2E">
        <w:t xml:space="preserve">and includes </w:t>
      </w:r>
      <w:r w:rsidR="00B05AA1">
        <w:t>a message of personal responsibility</w:t>
      </w:r>
      <w:r w:rsidR="007B2C2E">
        <w:t xml:space="preserve">.  The simple, direct, and consistent theme is   </w:t>
      </w:r>
    </w:p>
    <w:p w:rsidR="008E6453" w:rsidRDefault="00D71E22" w:rsidP="006744B7">
      <w:pPr>
        <w:pStyle w:val="NoSpacing"/>
      </w:pPr>
      <w:r>
        <w:t xml:space="preserve">              </w:t>
      </w:r>
    </w:p>
    <w:p w:rsidR="008D21D5" w:rsidRDefault="00D71E22" w:rsidP="006744B7">
      <w:pPr>
        <w:pStyle w:val="NoSpacing"/>
      </w:pPr>
      <w:r>
        <w:t xml:space="preserve">                                                          </w:t>
      </w:r>
      <w:r w:rsidR="008E6453" w:rsidRPr="008551FB">
        <w:rPr>
          <w:noProof/>
        </w:rPr>
        <w:drawing>
          <wp:inline distT="0" distB="0" distL="0" distR="0" wp14:anchorId="4F611E63" wp14:editId="5BD7980D">
            <wp:extent cx="1647825" cy="1114425"/>
            <wp:effectExtent l="0" t="0" r="9525" b="9525"/>
            <wp:docPr id="13" name="Picture 3" descr="Screen Shot 2013-04-15 at 5.26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Shot 2013-04-15 at 5.26.52 PM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7371" cy="111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B85368">
        <w:t>.</w:t>
      </w:r>
    </w:p>
    <w:p w:rsidR="008E6453" w:rsidRDefault="008E6453" w:rsidP="006744B7">
      <w:pPr>
        <w:pStyle w:val="NoSpacing"/>
        <w:rPr>
          <w:b/>
          <w:color w:val="1F497D" w:themeColor="text2"/>
          <w:sz w:val="28"/>
          <w:szCs w:val="28"/>
        </w:rPr>
      </w:pPr>
    </w:p>
    <w:p w:rsidR="00B6405A" w:rsidRDefault="00DF2999" w:rsidP="006744B7">
      <w:pPr>
        <w:pStyle w:val="NoSpacing"/>
        <w:rPr>
          <w:b/>
          <w:color w:val="1F497D" w:themeColor="text2"/>
          <w:sz w:val="28"/>
          <w:szCs w:val="28"/>
        </w:rPr>
      </w:pPr>
      <w:r w:rsidRPr="00700CD7">
        <w:rPr>
          <w:b/>
          <w:color w:val="1F497D" w:themeColor="text2"/>
          <w:sz w:val="28"/>
          <w:szCs w:val="28"/>
        </w:rPr>
        <w:t>Plan Management</w:t>
      </w:r>
    </w:p>
    <w:p w:rsidR="002A157E" w:rsidRPr="002A157E" w:rsidRDefault="002A157E" w:rsidP="006744B7">
      <w:pPr>
        <w:pStyle w:val="NoSpacing"/>
        <w:rPr>
          <w:b/>
          <w:color w:val="1F497D" w:themeColor="text2"/>
          <w:sz w:val="28"/>
          <w:szCs w:val="28"/>
        </w:rPr>
      </w:pPr>
    </w:p>
    <w:p w:rsidR="00B6405A" w:rsidRDefault="006C7729" w:rsidP="00AD61EE">
      <w:pPr>
        <w:pStyle w:val="NoSpacing"/>
        <w:numPr>
          <w:ilvl w:val="0"/>
          <w:numId w:val="2"/>
        </w:numPr>
        <w:ind w:left="360"/>
      </w:pPr>
      <w:r>
        <w:t>I</w:t>
      </w:r>
      <w:r w:rsidR="00B6405A">
        <w:t>ssuers</w:t>
      </w:r>
      <w:r>
        <w:t xml:space="preserve"> planning to provide</w:t>
      </w:r>
      <w:r w:rsidR="00B85368">
        <w:t xml:space="preserve"> QHPs i</w:t>
      </w:r>
      <w:r>
        <w:t xml:space="preserve">n the Arkansas Partnership Marketplace </w:t>
      </w:r>
      <w:r w:rsidR="00FD4744">
        <w:t xml:space="preserve">will </w:t>
      </w:r>
      <w:r w:rsidR="00B6405A">
        <w:t>file a Letter of Intent</w:t>
      </w:r>
      <w:r>
        <w:t xml:space="preserve"> by June 3</w:t>
      </w:r>
      <w:r w:rsidRPr="006C7729">
        <w:rPr>
          <w:vertAlign w:val="superscript"/>
        </w:rPr>
        <w:t>rd</w:t>
      </w:r>
      <w:r>
        <w:t xml:space="preserve"> declaring which service area</w:t>
      </w:r>
      <w:r w:rsidR="003435DD">
        <w:t>(</w:t>
      </w:r>
      <w:r>
        <w:t>s</w:t>
      </w:r>
      <w:r w:rsidR="003435DD">
        <w:t>)</w:t>
      </w:r>
      <w:r w:rsidR="001039C1">
        <w:t xml:space="preserve"> </w:t>
      </w:r>
      <w:r w:rsidR="00E775DE">
        <w:t xml:space="preserve">(see table below) </w:t>
      </w:r>
      <w:r w:rsidR="001039C1">
        <w:t>they plan to cover</w:t>
      </w:r>
      <w:r>
        <w:t xml:space="preserve">.  </w:t>
      </w:r>
      <w:r w:rsidR="003435DD">
        <w:t>Beginning in 2014</w:t>
      </w:r>
      <w:r w:rsidR="001039C1">
        <w:t xml:space="preserve">, </w:t>
      </w:r>
      <w:r w:rsidR="00E775DE">
        <w:t xml:space="preserve">newly determined and actuarially sound </w:t>
      </w:r>
      <w:r w:rsidR="003435DD">
        <w:t>geographic rating areas will match service areas</w:t>
      </w:r>
      <w:r w:rsidR="001039C1">
        <w:t xml:space="preserve"> in the new Marketplace</w:t>
      </w:r>
      <w:r w:rsidR="003435DD">
        <w:t xml:space="preserve">.  </w:t>
      </w:r>
      <w:r>
        <w:t>Full QHP applications with rate and form filings are due June 30</w:t>
      </w:r>
      <w:r w:rsidRPr="006C7729">
        <w:rPr>
          <w:vertAlign w:val="superscript"/>
        </w:rPr>
        <w:t>th</w:t>
      </w:r>
      <w:r>
        <w:t>, a date later than in</w:t>
      </w:r>
      <w:r w:rsidR="001039C1">
        <w:t xml:space="preserve"> most</w:t>
      </w:r>
      <w:r>
        <w:t xml:space="preserve"> state</w:t>
      </w:r>
      <w:r w:rsidR="00B85368">
        <w:t>s</w:t>
      </w:r>
      <w:r>
        <w:t>.</w:t>
      </w:r>
      <w:r w:rsidR="00FD4744">
        <w:t xml:space="preserve">  Arkansas delayed our application deadline due to the new opportunity provided to Issuers by the Hea</w:t>
      </w:r>
      <w:r w:rsidR="008D21D5">
        <w:t>lthcare Independence Act</w:t>
      </w:r>
      <w:r w:rsidR="00E775DE">
        <w:t xml:space="preserve"> of 2013</w:t>
      </w:r>
      <w:r w:rsidR="008D21D5">
        <w:t>.  On</w:t>
      </w:r>
      <w:r w:rsidR="00FD4744">
        <w:t xml:space="preserve"> July 31, the C</w:t>
      </w:r>
      <w:r w:rsidR="00B6405A">
        <w:t xml:space="preserve">ommissioner must </w:t>
      </w:r>
      <w:r w:rsidR="0023006E">
        <w:t>recommend</w:t>
      </w:r>
      <w:r w:rsidR="00B85368">
        <w:t xml:space="preserve"> the Ark</w:t>
      </w:r>
      <w:r w:rsidR="001039C1">
        <w:t>ansas certified</w:t>
      </w:r>
      <w:r w:rsidR="00B85368">
        <w:t xml:space="preserve"> QHPs to the federal government for placement on the federal Health Insurance Marketplace portal.</w:t>
      </w:r>
      <w:r w:rsidR="00FD4744">
        <w:t xml:space="preserve">  The federal government will contract with Issuers for the Arkansas Partnership Marketplace on September 4</w:t>
      </w:r>
      <w:r w:rsidR="00FD4744" w:rsidRPr="00FD4744">
        <w:rPr>
          <w:vertAlign w:val="superscript"/>
        </w:rPr>
        <w:t>th</w:t>
      </w:r>
      <w:r w:rsidR="00FD4744">
        <w:t>. O</w:t>
      </w:r>
      <w:r w:rsidR="008D21D5">
        <w:t xml:space="preserve">pen enrollment </w:t>
      </w:r>
      <w:r w:rsidR="003435DD">
        <w:t>will run from October 1</w:t>
      </w:r>
      <w:r w:rsidR="00E775DE">
        <w:t xml:space="preserve">, 2013 </w:t>
      </w:r>
      <w:r w:rsidR="003435DD">
        <w:t xml:space="preserve"> – March 31, 2014, with full coverage beginning January 1, 2014.</w:t>
      </w:r>
    </w:p>
    <w:p w:rsidR="003435DD" w:rsidRDefault="003435DD" w:rsidP="003435DD">
      <w:pPr>
        <w:pStyle w:val="NoSpacing"/>
      </w:pPr>
    </w:p>
    <w:p w:rsidR="002A157E" w:rsidRPr="003435DD" w:rsidRDefault="003435DD" w:rsidP="002A157E">
      <w:pPr>
        <w:pStyle w:val="NoSpacing"/>
        <w:rPr>
          <w:b/>
        </w:rPr>
      </w:pPr>
      <w:r>
        <w:tab/>
      </w:r>
      <w:r>
        <w:tab/>
      </w:r>
      <w:r w:rsidRPr="003435DD">
        <w:rPr>
          <w:b/>
        </w:rPr>
        <w:t>Arkansas Rating and Service Areas by Region</w:t>
      </w:r>
    </w:p>
    <w:p w:rsidR="002A157E" w:rsidRDefault="002A157E" w:rsidP="002A157E">
      <w:pPr>
        <w:pStyle w:val="NoSpacing"/>
      </w:pPr>
      <w:r>
        <w:t xml:space="preserve">                           </w:t>
      </w:r>
      <w:r>
        <w:rPr>
          <w:noProof/>
        </w:rPr>
        <w:drawing>
          <wp:inline distT="0" distB="0" distL="0" distR="0" wp14:anchorId="4686D760" wp14:editId="3E0168B9">
            <wp:extent cx="2933396" cy="2289407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84" cy="229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7E" w:rsidRDefault="002A157E" w:rsidP="002A157E">
      <w:pPr>
        <w:pStyle w:val="NoSpacing"/>
      </w:pPr>
      <w:r>
        <w:tab/>
      </w:r>
      <w:r>
        <w:tab/>
      </w:r>
      <w: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528"/>
        <w:gridCol w:w="1457"/>
        <w:gridCol w:w="1640"/>
        <w:gridCol w:w="1557"/>
      </w:tblGrid>
      <w:tr w:rsidR="0098293F" w:rsidRPr="0098293F" w:rsidTr="00611A41"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Central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1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Cleburne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Lonoke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Pulaski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Yell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Conway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Perry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Saline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Faulkner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Pope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Van Buren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Grant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Prairie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White</w:t>
            </w:r>
          </w:p>
        </w:tc>
      </w:tr>
      <w:tr w:rsidR="0098293F" w:rsidRPr="0098293F" w:rsidTr="00611A41"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Northeast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2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Clay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Fulton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Jackson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Randolph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Woodruff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Craighead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Greene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Lawrence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Sharp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Crittenden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Independence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Mississippi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St. Francis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Cross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Izard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Poinsett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Stone</w:t>
            </w:r>
          </w:p>
        </w:tc>
      </w:tr>
      <w:tr w:rsidR="0098293F" w:rsidRPr="0098293F" w:rsidTr="00611A41">
        <w:trPr>
          <w:trHeight w:val="755"/>
        </w:trPr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Northwest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3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Baxter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Madison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Benton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Boone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Newton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Carroll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Searcy</w:t>
            </w:r>
          </w:p>
        </w:tc>
      </w:tr>
      <w:tr w:rsidR="0098293F" w:rsidRPr="0098293F" w:rsidTr="00611A41">
        <w:trPr>
          <w:trHeight w:val="728"/>
        </w:trPr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South Central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4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Clark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Pike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Garland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Hot Spring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Montgomery</w:t>
            </w:r>
          </w:p>
        </w:tc>
      </w:tr>
      <w:tr w:rsidR="0098293F" w:rsidRPr="0098293F" w:rsidTr="00611A41"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Southeast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5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Arkansas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Cleveland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Jefferson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Phillips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Ashley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Dallas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Lee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Bradley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Desha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Chicot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Drew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Monroe</w:t>
            </w:r>
          </w:p>
        </w:tc>
      </w:tr>
      <w:tr w:rsidR="0098293F" w:rsidRPr="0098293F" w:rsidTr="00611A41">
        <w:trPr>
          <w:trHeight w:val="800"/>
        </w:trPr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Southwest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6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Calhoun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Lafayette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Ouachita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Columbia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Little River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Sevier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Hempstead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Miller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Union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Howard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Nevada</w:t>
            </w:r>
          </w:p>
        </w:tc>
      </w:tr>
      <w:tr w:rsidR="0098293F" w:rsidRPr="0098293F" w:rsidTr="003435DD">
        <w:trPr>
          <w:trHeight w:val="56"/>
        </w:trPr>
        <w:tc>
          <w:tcPr>
            <w:tcW w:w="1463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West Central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Rating Area 7</w:t>
            </w:r>
          </w:p>
        </w:tc>
        <w:tc>
          <w:tcPr>
            <w:tcW w:w="1528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Crawford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Scott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Polk</w:t>
            </w:r>
          </w:p>
        </w:tc>
        <w:tc>
          <w:tcPr>
            <w:tcW w:w="14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Franklin</w:t>
            </w:r>
          </w:p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Sebastian</w:t>
            </w:r>
          </w:p>
        </w:tc>
        <w:tc>
          <w:tcPr>
            <w:tcW w:w="1640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1557" w:type="dxa"/>
            <w:shd w:val="clear" w:color="auto" w:fill="auto"/>
          </w:tcPr>
          <w:p w:rsidR="0098293F" w:rsidRPr="0098293F" w:rsidRDefault="0098293F" w:rsidP="0098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</w:pPr>
            <w:r w:rsidRPr="0098293F">
              <w:rPr>
                <w:rFonts w:ascii="Helvetica" w:eastAsia="Times New Roman" w:hAnsi="Helvetica" w:cs="Helvetica"/>
                <w:b/>
                <w:color w:val="000000"/>
                <w:sz w:val="16"/>
                <w:szCs w:val="16"/>
              </w:rPr>
              <w:t>Logan</w:t>
            </w:r>
          </w:p>
        </w:tc>
      </w:tr>
    </w:tbl>
    <w:p w:rsidR="00480FB0" w:rsidRDefault="008D21D5" w:rsidP="00EF6AAA">
      <w:pPr>
        <w:pStyle w:val="ListParagraph"/>
        <w:numPr>
          <w:ilvl w:val="0"/>
          <w:numId w:val="2"/>
        </w:numPr>
        <w:ind w:left="360"/>
      </w:pPr>
      <w:r>
        <w:t xml:space="preserve">An increased number of Issuers in Arkansas </w:t>
      </w:r>
      <w:r w:rsidR="00AD61EE">
        <w:t xml:space="preserve">would </w:t>
      </w:r>
      <w:r>
        <w:t xml:space="preserve">help stabilize the Marketplace, give consumers choice, and decrease costs.  </w:t>
      </w:r>
      <w:r w:rsidR="00AD61EE">
        <w:t>I</w:t>
      </w:r>
      <w:r w:rsidR="00B85368">
        <w:t>n an effort to recruit new Issuers into</w:t>
      </w:r>
      <w:r>
        <w:t xml:space="preserve"> the State</w:t>
      </w:r>
      <w:r w:rsidR="00B85368">
        <w:t xml:space="preserve">, Commissioner Bradford and other health leaders have </w:t>
      </w:r>
      <w:r w:rsidR="00AD61EE">
        <w:t xml:space="preserve">hosted multiple </w:t>
      </w:r>
      <w:r w:rsidR="00B85368">
        <w:t>meetings with Issuers-- l</w:t>
      </w:r>
      <w:r w:rsidR="00480FB0">
        <w:t>isten</w:t>
      </w:r>
      <w:r w:rsidR="00B85368">
        <w:t>ing</w:t>
      </w:r>
      <w:r w:rsidR="00480FB0">
        <w:t xml:space="preserve"> to the</w:t>
      </w:r>
      <w:r w:rsidR="00B85368">
        <w:t>ir</w:t>
      </w:r>
      <w:r w:rsidR="00480FB0">
        <w:t xml:space="preserve"> concerns </w:t>
      </w:r>
      <w:r w:rsidR="00FD4744">
        <w:t>and</w:t>
      </w:r>
      <w:r w:rsidR="00B85368">
        <w:t xml:space="preserve"> communicating</w:t>
      </w:r>
      <w:r w:rsidR="00480FB0">
        <w:t xml:space="preserve"> the rules and regulations for the</w:t>
      </w:r>
      <w:r w:rsidR="00FD4744">
        <w:t xml:space="preserve"> new</w:t>
      </w:r>
      <w:r w:rsidR="00480FB0">
        <w:t xml:space="preserve"> </w:t>
      </w:r>
      <w:r w:rsidR="00B85368">
        <w:t>Marketplace.</w:t>
      </w:r>
      <w:r w:rsidR="00FD4744">
        <w:t xml:space="preserve">  Six issuers have attended multiple </w:t>
      </w:r>
      <w:r>
        <w:t xml:space="preserve">outreach </w:t>
      </w:r>
      <w:r w:rsidR="00FD4744">
        <w:t>sessions</w:t>
      </w:r>
      <w:r>
        <w:t>:</w:t>
      </w:r>
      <w:r w:rsidRPr="008D21D5">
        <w:t xml:space="preserve"> </w:t>
      </w:r>
      <w:r>
        <w:t xml:space="preserve"> </w:t>
      </w:r>
      <w:r w:rsidRPr="00480FB0">
        <w:t>Blue Cross</w:t>
      </w:r>
      <w:r>
        <w:t xml:space="preserve"> Blue Shield of Arkansas</w:t>
      </w:r>
      <w:r w:rsidRPr="00480FB0">
        <w:t xml:space="preserve">, </w:t>
      </w:r>
      <w:r>
        <w:t xml:space="preserve">Coventry, </w:t>
      </w:r>
      <w:proofErr w:type="spellStart"/>
      <w:r w:rsidRPr="00480FB0">
        <w:t>NovaSys</w:t>
      </w:r>
      <w:proofErr w:type="spellEnd"/>
      <w:r>
        <w:t xml:space="preserve">/Celtic, </w:t>
      </w:r>
      <w:proofErr w:type="spellStart"/>
      <w:r w:rsidRPr="00480FB0">
        <w:t>QualChoice</w:t>
      </w:r>
      <w:proofErr w:type="spellEnd"/>
      <w:r>
        <w:t xml:space="preserve">, United Healthcare and United Security Life and Health Company.  In addition, Arkansas is likely to get one and maybe two </w:t>
      </w:r>
      <w:r w:rsidR="00E775DE">
        <w:t xml:space="preserve">U.S. Office of Personnel Management (OPM) </w:t>
      </w:r>
      <w:r>
        <w:t>multi-state plans in 2014.</w:t>
      </w:r>
    </w:p>
    <w:p w:rsidR="00B85368" w:rsidRDefault="00B85368" w:rsidP="00EF6AAA">
      <w:pPr>
        <w:pStyle w:val="ListParagraph"/>
        <w:ind w:left="0"/>
      </w:pPr>
    </w:p>
    <w:p w:rsidR="00734F0C" w:rsidRDefault="00B85368" w:rsidP="00EF6AAA">
      <w:pPr>
        <w:pStyle w:val="NoSpacing"/>
        <w:numPr>
          <w:ilvl w:val="0"/>
          <w:numId w:val="2"/>
        </w:numPr>
        <w:ind w:left="360"/>
      </w:pPr>
      <w:r>
        <w:t>In preparing for the QHP certification process over the past year</w:t>
      </w:r>
      <w:r w:rsidR="00FD4744">
        <w:t>, AID leaders have worked</w:t>
      </w:r>
      <w:r>
        <w:t xml:space="preserve"> with multiple stakeholders to establish </w:t>
      </w:r>
      <w:r w:rsidR="00FD4744">
        <w:t xml:space="preserve">QHP </w:t>
      </w:r>
      <w:r>
        <w:t>certification standards and processes</w:t>
      </w:r>
      <w:r w:rsidR="00734F0C">
        <w:t xml:space="preserve"> specific to Arkansas needs</w:t>
      </w:r>
      <w:r>
        <w:t>.  Public Consulting Group</w:t>
      </w:r>
      <w:r w:rsidR="00EF6AAA">
        <w:t xml:space="preserve"> (PCG)</w:t>
      </w:r>
      <w:r>
        <w:t xml:space="preserve"> serves as our primary </w:t>
      </w:r>
      <w:r w:rsidR="00FD4744">
        <w:t xml:space="preserve">plan management </w:t>
      </w:r>
      <w:r>
        <w:t xml:space="preserve">planning vendor. </w:t>
      </w:r>
      <w:r w:rsidR="00734F0C">
        <w:t>Key decisions have included</w:t>
      </w:r>
      <w:r w:rsidR="00E775DE">
        <w:t xml:space="preserve"> Arkansas’s plan to operate under</w:t>
      </w:r>
      <w:r w:rsidR="008D21D5">
        <w:t xml:space="preserve"> an Open Marketplace </w:t>
      </w:r>
      <w:r w:rsidR="00AD61EE">
        <w:t>(</w:t>
      </w:r>
      <w:r w:rsidR="00E775DE">
        <w:t xml:space="preserve">Certification </w:t>
      </w:r>
      <w:r w:rsidR="00AD61EE">
        <w:t xml:space="preserve">vs. Competitive Bidding) business </w:t>
      </w:r>
      <w:r w:rsidR="00E775DE">
        <w:t xml:space="preserve">model.  Robust stakeholder involvement has resulted in state specific standards which often differ from the federal default standard.  Examples where </w:t>
      </w:r>
      <w:r w:rsidR="00AD61EE">
        <w:t>Arkansas chose</w:t>
      </w:r>
      <w:r w:rsidR="00734F0C">
        <w:t xml:space="preserve"> our own</w:t>
      </w:r>
      <w:r w:rsidR="00E775DE">
        <w:t xml:space="preserve"> standards include</w:t>
      </w:r>
      <w:r w:rsidR="00734F0C">
        <w:t>:</w:t>
      </w:r>
    </w:p>
    <w:p w:rsidR="001039C1" w:rsidRDefault="001039C1" w:rsidP="00EF6AAA">
      <w:pPr>
        <w:pStyle w:val="NoSpacing"/>
      </w:pPr>
    </w:p>
    <w:p w:rsidR="00734F0C" w:rsidRDefault="00734F0C" w:rsidP="00EF6AAA">
      <w:pPr>
        <w:pStyle w:val="NoSpacing"/>
        <w:numPr>
          <w:ilvl w:val="1"/>
          <w:numId w:val="2"/>
        </w:numPr>
        <w:ind w:left="720"/>
      </w:pPr>
      <w:r>
        <w:t>Essential Health Benefits Benchmark Plan – different than the federal default plan</w:t>
      </w:r>
    </w:p>
    <w:p w:rsidR="00734F0C" w:rsidRDefault="00734F0C" w:rsidP="00EF6AAA">
      <w:pPr>
        <w:pStyle w:val="NoSpacing"/>
        <w:numPr>
          <w:ilvl w:val="1"/>
          <w:numId w:val="2"/>
        </w:numPr>
        <w:ind w:left="720"/>
      </w:pPr>
      <w:proofErr w:type="spellStart"/>
      <w:r>
        <w:t>Habilitative</w:t>
      </w:r>
      <w:proofErr w:type="spellEnd"/>
      <w:r>
        <w:t xml:space="preserve"> Services Definition – different than</w:t>
      </w:r>
      <w:r w:rsidR="00E775DE">
        <w:t xml:space="preserve"> the default where issuers determine</w:t>
      </w:r>
      <w:r>
        <w:t xml:space="preserve"> the definition</w:t>
      </w:r>
    </w:p>
    <w:p w:rsidR="00734F0C" w:rsidRDefault="00734F0C" w:rsidP="00EF6AAA">
      <w:pPr>
        <w:pStyle w:val="NoSpacing"/>
        <w:numPr>
          <w:ilvl w:val="1"/>
          <w:numId w:val="2"/>
        </w:numPr>
        <w:ind w:left="720"/>
      </w:pPr>
      <w:r>
        <w:t>Seven Rating Areas – different than the number of federal default rating areas</w:t>
      </w:r>
    </w:p>
    <w:p w:rsidR="00734F0C" w:rsidRDefault="00734F0C" w:rsidP="00EF6AAA">
      <w:pPr>
        <w:pStyle w:val="NoSpacing"/>
        <w:numPr>
          <w:ilvl w:val="1"/>
          <w:numId w:val="2"/>
        </w:numPr>
        <w:ind w:left="720"/>
      </w:pPr>
      <w:r>
        <w:t>Seven Service Areas – and requiring at least two Issuers in every county</w:t>
      </w:r>
    </w:p>
    <w:p w:rsidR="00734F0C" w:rsidRDefault="00734F0C" w:rsidP="00EF6AAA">
      <w:pPr>
        <w:pStyle w:val="NoSpacing"/>
        <w:numPr>
          <w:ilvl w:val="1"/>
          <w:numId w:val="2"/>
        </w:numPr>
        <w:ind w:left="720"/>
      </w:pPr>
      <w:r>
        <w:t xml:space="preserve">Tobacco Rating Upcharge of 1.2: 1  – different than the </w:t>
      </w:r>
      <w:r w:rsidR="00E775DE">
        <w:t xml:space="preserve">federally </w:t>
      </w:r>
      <w:r>
        <w:t>allowed 1.5: 1</w:t>
      </w:r>
      <w:r w:rsidR="00AD61EE">
        <w:t>.</w:t>
      </w:r>
    </w:p>
    <w:p w:rsidR="00B85368" w:rsidRDefault="00B85368" w:rsidP="00EF6AAA">
      <w:pPr>
        <w:pStyle w:val="NoSpacing"/>
      </w:pPr>
    </w:p>
    <w:p w:rsidR="00480FB0" w:rsidRDefault="00B6405A" w:rsidP="00EF6AAA">
      <w:pPr>
        <w:pStyle w:val="NoSpacing"/>
        <w:numPr>
          <w:ilvl w:val="0"/>
          <w:numId w:val="2"/>
        </w:numPr>
        <w:ind w:left="360"/>
      </w:pPr>
      <w:r>
        <w:t>Coordination continues among the Insurance Department, Department of Human Services, and the Arkansas</w:t>
      </w:r>
      <w:r w:rsidR="00AD61EE">
        <w:t xml:space="preserve"> Center for Health Improvement around</w:t>
      </w:r>
      <w:r>
        <w:t xml:space="preserve"> the start of the Arkansas Health</w:t>
      </w:r>
      <w:r w:rsidR="00E775DE">
        <w:t>care</w:t>
      </w:r>
      <w:r>
        <w:t xml:space="preserve"> Independence Program, otherwise known as the Private Option.</w:t>
      </w:r>
      <w:r w:rsidR="00734F0C">
        <w:t xml:space="preserve">  AID was supportive of this legislation as a solution for decreasing the negative impact of consumers moving between Medicaid coverage and </w:t>
      </w:r>
      <w:r w:rsidR="008D21D5">
        <w:t xml:space="preserve">private plan coverage for low income Arkansans eligible for premium tax credits and other cost reduction subsidies. </w:t>
      </w:r>
      <w:r w:rsidR="00EF6AAA">
        <w:t xml:space="preserve"> Contractors </w:t>
      </w:r>
      <w:proofErr w:type="spellStart"/>
      <w:r w:rsidR="00EF6AAA">
        <w:t>Manatt</w:t>
      </w:r>
      <w:proofErr w:type="spellEnd"/>
      <w:r w:rsidR="00EF6AAA">
        <w:t xml:space="preserve"> Health Solutions and </w:t>
      </w:r>
      <w:proofErr w:type="spellStart"/>
      <w:r w:rsidR="00EF6AAA">
        <w:t>Optumas</w:t>
      </w:r>
      <w:proofErr w:type="spellEnd"/>
      <w:r w:rsidR="00EF6AAA">
        <w:t xml:space="preserve"> have been instrumental in helping </w:t>
      </w:r>
      <w:r w:rsidR="00E775DE">
        <w:t xml:space="preserve">Arkansas study options and </w:t>
      </w:r>
      <w:r w:rsidR="00EF6AAA">
        <w:t>develop Arkansas’s response to covering more Arkansans through Medicaid Premium Assistance</w:t>
      </w:r>
      <w:r w:rsidR="00E775DE">
        <w:t xml:space="preserve"> rather than growing the state Medicaid program</w:t>
      </w:r>
      <w:r w:rsidR="00EF6AAA">
        <w:t>.</w:t>
      </w:r>
    </w:p>
    <w:p w:rsidR="00B6405A" w:rsidRDefault="00B6405A" w:rsidP="00AD61EE">
      <w:pPr>
        <w:pStyle w:val="NoSpacing"/>
      </w:pPr>
    </w:p>
    <w:p w:rsidR="00B6405A" w:rsidRDefault="00B64D5F" w:rsidP="00AD61EE">
      <w:pPr>
        <w:pStyle w:val="NoSpacing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Federal Cooperation</w:t>
      </w:r>
      <w:r w:rsidR="002A157E">
        <w:rPr>
          <w:b/>
          <w:color w:val="1F497D" w:themeColor="text2"/>
          <w:sz w:val="28"/>
          <w:szCs w:val="28"/>
        </w:rPr>
        <w:t xml:space="preserve">  </w:t>
      </w:r>
    </w:p>
    <w:p w:rsidR="002A157E" w:rsidRPr="002A157E" w:rsidRDefault="002A157E" w:rsidP="00AD61EE">
      <w:pPr>
        <w:pStyle w:val="NoSpacing"/>
        <w:rPr>
          <w:b/>
          <w:color w:val="1F497D" w:themeColor="text2"/>
          <w:sz w:val="28"/>
          <w:szCs w:val="28"/>
        </w:rPr>
      </w:pPr>
    </w:p>
    <w:p w:rsidR="00AD61EE" w:rsidRDefault="00B6405A" w:rsidP="00EF6AAA">
      <w:pPr>
        <w:pStyle w:val="NoSpacing"/>
        <w:numPr>
          <w:ilvl w:val="0"/>
          <w:numId w:val="13"/>
        </w:numPr>
      </w:pPr>
      <w:r>
        <w:t xml:space="preserve">On June 19 in Baltimore, Insurance Department officials will meet with leaders from the </w:t>
      </w:r>
      <w:r w:rsidR="00EF6AAA">
        <w:t>Center</w:t>
      </w:r>
      <w:r w:rsidR="00E775DE">
        <w:t xml:space="preserve"> </w:t>
      </w:r>
      <w:r w:rsidRPr="00B6405A">
        <w:t>for Consumer Information &amp; Insurance Oversight</w:t>
      </w:r>
      <w:r>
        <w:t xml:space="preserve"> for the Implementation Review of Arkansas’s </w:t>
      </w:r>
      <w:r w:rsidR="00EF6AAA">
        <w:t>Marketplace</w:t>
      </w:r>
      <w:r>
        <w:t xml:space="preserve"> planning efforts. We have every reason to be confident that </w:t>
      </w:r>
      <w:r w:rsidR="00AD61EE">
        <w:t>our federal partners</w:t>
      </w:r>
      <w:r>
        <w:t xml:space="preserve"> will continue to be </w:t>
      </w:r>
      <w:r w:rsidR="00AD61EE">
        <w:t xml:space="preserve">supportive of the </w:t>
      </w:r>
      <w:r>
        <w:t>progress in Arkansas</w:t>
      </w:r>
      <w:r w:rsidR="00AD61EE">
        <w:t>.</w:t>
      </w:r>
    </w:p>
    <w:p w:rsidR="00EF6AAA" w:rsidRDefault="00EF6AAA" w:rsidP="00EF6AAA">
      <w:pPr>
        <w:pStyle w:val="NoSpacing"/>
        <w:ind w:left="360"/>
      </w:pPr>
    </w:p>
    <w:p w:rsidR="00B64D5F" w:rsidRDefault="00B64D5F" w:rsidP="00EF6AAA">
      <w:pPr>
        <w:pStyle w:val="NoSpacing"/>
        <w:numPr>
          <w:ilvl w:val="0"/>
          <w:numId w:val="13"/>
        </w:numPr>
      </w:pPr>
      <w:r>
        <w:t>The federal government requires that, in advertising and educational materials, Partnership states include the logo (below) indicating their participation in the Federally-Facilitated Marketplace for eligibility determination and enrollment.</w:t>
      </w:r>
      <w:r w:rsidR="002A157E" w:rsidRPr="002A157E">
        <w:rPr>
          <w:noProof/>
        </w:rPr>
        <w:t xml:space="preserve"> </w:t>
      </w:r>
      <w:r w:rsidR="002A157E">
        <w:rPr>
          <w:noProof/>
        </w:rPr>
        <w:drawing>
          <wp:inline distT="0" distB="0" distL="0" distR="0" wp14:anchorId="571B5BCB" wp14:editId="4F9D6BBD">
            <wp:extent cx="4923130" cy="738835"/>
            <wp:effectExtent l="0" t="0" r="0" b="4445"/>
            <wp:docPr id="16" name="Picture 16" descr="C:\Users\sblomeley\AppData\Local\Microsoft\Windows\Temporary Internet Files\Content.Outlook\63LOTHN2\HIM_Logo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lomeley\AppData\Local\Microsoft\Windows\Temporary Internet Files\Content.Outlook\63LOTHN2\HIM_LogoFin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723" cy="74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AA" w:rsidRDefault="00EF6AAA" w:rsidP="00EF6AAA">
      <w:pPr>
        <w:pStyle w:val="ListParagraph"/>
      </w:pPr>
    </w:p>
    <w:p w:rsidR="00EF6AAA" w:rsidRDefault="00EF6AAA" w:rsidP="00EF6AAA">
      <w:pPr>
        <w:pStyle w:val="NoSpacing"/>
        <w:ind w:left="360"/>
      </w:pPr>
      <w:r>
        <w:t xml:space="preserve">For more information contact Cynthia Crone at 501-683-3634 or </w:t>
      </w:r>
      <w:hyperlink r:id="rId13" w:history="1">
        <w:r w:rsidR="00E775DE" w:rsidRPr="008C00C4">
          <w:rPr>
            <w:rStyle w:val="Hyperlink"/>
          </w:rPr>
          <w:t>Cynthia.Crone@Arkansas.Gov</w:t>
        </w:r>
      </w:hyperlink>
    </w:p>
    <w:p w:rsidR="00E775DE" w:rsidRDefault="00E775DE" w:rsidP="00EF6AAA">
      <w:pPr>
        <w:pStyle w:val="NoSpacing"/>
        <w:ind w:left="360"/>
      </w:pPr>
    </w:p>
    <w:p w:rsidR="00E775DE" w:rsidRDefault="00E775DE" w:rsidP="00EF6AAA">
      <w:pPr>
        <w:pStyle w:val="NoSpacing"/>
        <w:ind w:left="360"/>
      </w:pPr>
    </w:p>
    <w:p w:rsidR="007E0544" w:rsidRDefault="007E0544" w:rsidP="00E775DE">
      <w:pPr>
        <w:pStyle w:val="Heading1"/>
        <w:jc w:val="center"/>
      </w:pPr>
    </w:p>
    <w:p w:rsidR="00ED2E02" w:rsidRPr="00ED2E02" w:rsidRDefault="00ED2E02" w:rsidP="00ED2E02"/>
    <w:p w:rsidR="002A157E" w:rsidRDefault="00E775DE" w:rsidP="00E775DE">
      <w:pPr>
        <w:pStyle w:val="Heading1"/>
        <w:jc w:val="center"/>
      </w:pPr>
      <w:r>
        <w:t>IPA Guide Entities by County</w:t>
      </w:r>
    </w:p>
    <w:tbl>
      <w:tblPr>
        <w:tblW w:w="7780" w:type="dxa"/>
        <w:tblInd w:w="93" w:type="dxa"/>
        <w:tblLook w:val="04A0" w:firstRow="1" w:lastRow="0" w:firstColumn="1" w:lastColumn="0" w:noHBand="0" w:noVBand="1"/>
      </w:tblPr>
      <w:tblGrid>
        <w:gridCol w:w="2020"/>
        <w:gridCol w:w="5760"/>
      </w:tblGrid>
      <w:tr w:rsidR="00ED2E02" w:rsidRPr="00E775DE" w:rsidTr="00ED2E02">
        <w:trPr>
          <w:trHeight w:val="300"/>
          <w:tblHeader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ED2E02" w:rsidRPr="00E775DE" w:rsidRDefault="00ED2E02" w:rsidP="00ED2E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County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ED2E02" w:rsidRPr="00ED2E02" w:rsidRDefault="00ED2E02" w:rsidP="00ED2E0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ED2E02">
              <w:rPr>
                <w:rFonts w:eastAsia="Times New Roman"/>
                <w:b/>
                <w:color w:val="000000"/>
              </w:rPr>
              <w:t>Entity</w:t>
            </w:r>
          </w:p>
        </w:tc>
      </w:tr>
      <w:tr w:rsidR="00E775DE" w:rsidRPr="00E775DE" w:rsidTr="00ED2E02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Arkansas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Arkansas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Arkansas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Arkansas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Ashley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Ashley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Ashley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Baxter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Baxter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Benton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Benton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Benton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Benton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Benton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Benton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The Hispanic Women's Organization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Boone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Boone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Boone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Boone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Boone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Friendship Community Care,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Boone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Bradley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Bradley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Bradley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Calhoun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Calhoun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Carroll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Carroll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Carroll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Carroll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Carroll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Chicot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Chicot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Chicot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Clark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Clark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Clark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Clay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Clay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Clay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Cleburne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Cleburne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Cleburne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Cleveland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Cleveland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Cleveland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Columbia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Columbia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Columbia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Conway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Conway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Conway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Craighead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Craighead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Craighead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Craighead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Crawford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Crawford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Crawford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Crawford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Crawford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Harbour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House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Crawford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Crittenden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Crittenden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Crittenden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Choccross</w:t>
            </w:r>
            <w:proofErr w:type="spellEnd"/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Crittenden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Crittenden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Crittenden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Cross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Cross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Cross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 xml:space="preserve">Cross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Choccross</w:t>
            </w:r>
            <w:proofErr w:type="spellEnd"/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Dallas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Dallas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Dallas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Desha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Desha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Desha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Desha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Drew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Drew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Drew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Drew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Health Care Access Foundation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Central Arkansas Library System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Faulkner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Living and Affected Corporation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Franklin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Franklin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Franklin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Fulton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Fulton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Garland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Garland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Garland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Garland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Garland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Living and Affected Corporation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Garland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Quapaw House,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Grant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Grant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Grant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Grant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Southeast Arkansas Behavioral Healthcare System, Inc.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Grant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Greene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Greene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Greene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Greene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Hempstead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Hempstead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Hempstead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Hempstead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Hot Spring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Hot Spring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Hot Spring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Health Care Access Foundation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Howard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Howard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Howard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Independence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Independence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Independence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Izard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Izard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Jackson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Jackson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Jackson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Health Care Access Foundation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Central Arkansas Library System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Living and Affected Corporation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Southeast Arkansas Behavioral Healthcare System,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Wilkins Training and Development, LLC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Jefferson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Wilkins Training and Development, LLC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Johnson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Johnson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Johnson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Lafayette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Lafayette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Lafayette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Lawrence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Lawrence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 xml:space="preserve">Lawrence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 xml:space="preserve">Lawrence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Choccross</w:t>
            </w:r>
            <w:proofErr w:type="spellEnd"/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Lincoln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Lincoln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Lincoln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Lincoln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Little River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Little River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Little River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Logan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Logan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Logan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Logan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Lonoke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Lonoke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Lonoke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Central Arkansas Library System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Lonoke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Lonoke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Lonoke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Madison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Madison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Madison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Marion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Marion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Marion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Marion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Miller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Miller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Miller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Miller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Mississippi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Mississippi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Mississippi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Mississippi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Monroe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Monroe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Choccross</w:t>
            </w:r>
            <w:proofErr w:type="spellEnd"/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Monroe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Montgomery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Montgomery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Montgomery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Nevada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Nevada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Nevada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Newton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Newton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Newton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Ouachita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Ouachita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Ouachita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Ouachita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Perry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Perry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Perry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Phillips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Phillips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Phillips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Phillips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Phillips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Pike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Pike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Poinsett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Poinsett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Poinsett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Poinsett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Polk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Polk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Polk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Polk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Harbour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House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Pope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Pope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Pope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Pope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Friendship Community Care,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Prairie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Prairie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Health Care Access Foundation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Voices for the Children Left Behind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Better Community Development,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Central Arkansas Volunteers In Medicine Clinic,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Central Arkansas Library System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Hope Restoration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Living and Affected Corporation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Wilkins Training and Development, LLC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Pulaski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Women's Council on AA Affairs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Randolph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Randolph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Randolph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Randolph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Saline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Saline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State Chamber of Commerce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Saline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Central Arkansas Library System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Saline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Saline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Future Builders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Saline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Living and Affected Corporation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Scott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Scott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Searcy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Searcy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Guide Organization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Searcy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Harbour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House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Living and Affected Corporation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Sebastian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Sevier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Sevier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Sevier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Sevier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Sevier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Sharp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Sharp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Sharp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Covenant Medical Benefits,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 Francis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East Arkansas Enterprise Community 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 Francis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East Arkansas Enterprise Community 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St. Francis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St. Francis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Stone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Friendship Community Care,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Union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Union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Union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Arkansas Minority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Union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Union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Union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Options for Life Services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Van Buren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Van Buren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Van Buren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Community Health Centers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Economic Opportunity Agency of Washington County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Friendship Community Care,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Washington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The Hispanic Women's Organization of Arkansas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White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White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White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White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Mental Health Council of Arkansas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Woodruff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Woodruff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Tri-County Rural Health Network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Yell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E775DE">
              <w:rPr>
                <w:rFonts w:eastAsia="Times New Roman"/>
                <w:color w:val="000000"/>
              </w:rPr>
              <w:t>Dept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of Health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Yell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775DE">
              <w:rPr>
                <w:rFonts w:eastAsia="Times New Roman"/>
                <w:color w:val="000000"/>
              </w:rPr>
              <w:t>Bost</w:t>
            </w:r>
            <w:proofErr w:type="spellEnd"/>
            <w:r w:rsidRPr="00E775DE">
              <w:rPr>
                <w:rFonts w:eastAsia="Times New Roman"/>
                <w:color w:val="000000"/>
              </w:rPr>
              <w:t xml:space="preserve"> Inc.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Yell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97DBB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E775DE">
              <w:rPr>
                <w:rFonts w:eastAsia="Times New Roman"/>
                <w:b/>
                <w:bCs/>
                <w:color w:val="000000"/>
              </w:rPr>
              <w:t>Yell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In Affordable Housing, Inc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775DE">
              <w:rPr>
                <w:rFonts w:eastAsia="Times New Roman"/>
                <w:color w:val="000000"/>
              </w:rPr>
              <w:t> 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Purpose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Health Care Independence Act (HCIA) Positions for DHS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Central Health Region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 xml:space="preserve">Northwest Health Region 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Northeast Health Region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Southeast Health Region</w:t>
            </w:r>
          </w:p>
        </w:tc>
      </w:tr>
      <w:tr w:rsidR="00E775DE" w:rsidRPr="00E775DE" w:rsidTr="00E775DE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775DE">
              <w:rPr>
                <w:rFonts w:eastAsia="Times New Roman"/>
                <w:color w:val="000000"/>
                <w:sz w:val="20"/>
                <w:szCs w:val="20"/>
              </w:rPr>
              <w:t>Southwest Health Region</w:t>
            </w:r>
          </w:p>
        </w:tc>
      </w:tr>
      <w:tr w:rsidR="00E775DE" w:rsidRPr="00E775DE" w:rsidTr="00E775DE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5DE" w:rsidRPr="00E775DE" w:rsidRDefault="00E775DE" w:rsidP="00E775D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5D1EB4" w:rsidRDefault="005D1EB4">
      <w:pPr>
        <w:spacing w:after="0" w:line="240" w:lineRule="auto"/>
      </w:pPr>
      <w:r>
        <w:br w:type="page"/>
      </w:r>
    </w:p>
    <w:p w:rsidR="005D1EB4" w:rsidRDefault="005D1EB4" w:rsidP="005D1EB4">
      <w:pPr>
        <w:keepNext/>
        <w:spacing w:before="240" w:after="60"/>
        <w:jc w:val="center"/>
        <w:outlineLvl w:val="0"/>
        <w:rPr>
          <w:rFonts w:ascii="Cambria" w:eastAsia="Times New Roman" w:hAnsi="Cambria"/>
          <w:b/>
          <w:bCs/>
          <w:kern w:val="32"/>
          <w:sz w:val="32"/>
          <w:szCs w:val="32"/>
        </w:rPr>
        <w:sectPr w:rsidR="005D1EB4" w:rsidSect="00ED2E02">
          <w:footerReference w:type="default" r:id="rId14"/>
          <w:pgSz w:w="12240" w:h="15840"/>
          <w:pgMar w:top="720" w:right="1152" w:bottom="1152" w:left="1296" w:header="720" w:footer="720" w:gutter="0"/>
          <w:cols w:space="720"/>
          <w:docGrid w:linePitch="360"/>
        </w:sectPr>
      </w:pPr>
    </w:p>
    <w:p w:rsidR="005D1EB4" w:rsidRPr="005D1EB4" w:rsidRDefault="005D1EB4" w:rsidP="005D1EB4">
      <w:pPr>
        <w:keepNext/>
        <w:spacing w:before="240" w:after="60"/>
        <w:jc w:val="center"/>
        <w:outlineLvl w:val="0"/>
        <w:rPr>
          <w:rFonts w:ascii="Cambria" w:eastAsia="Times New Roman" w:hAnsi="Cambria"/>
          <w:b/>
          <w:bCs/>
          <w:kern w:val="32"/>
          <w:sz w:val="32"/>
          <w:szCs w:val="32"/>
        </w:rPr>
      </w:pPr>
      <w:r w:rsidRPr="005D1EB4">
        <w:rPr>
          <w:rFonts w:ascii="Cambria" w:eastAsia="Times New Roman" w:hAnsi="Cambria"/>
          <w:b/>
          <w:bCs/>
          <w:kern w:val="32"/>
          <w:sz w:val="32"/>
          <w:szCs w:val="32"/>
        </w:rPr>
        <w:t>DHHS/ CCIIO Funding to Date</w:t>
      </w:r>
    </w:p>
    <w:p w:rsidR="005D1EB4" w:rsidRPr="005D1EB4" w:rsidRDefault="005D1EB4" w:rsidP="005D1EB4">
      <w:r>
        <w:rPr>
          <w:noProof/>
        </w:rPr>
        <w:drawing>
          <wp:inline distT="0" distB="0" distL="0" distR="0" wp14:anchorId="67AEE903" wp14:editId="3C2DF920">
            <wp:extent cx="9136380" cy="2392045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38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EB4" w:rsidRPr="005D1EB4" w:rsidRDefault="005D1EB4" w:rsidP="005D1EB4">
      <w:pPr>
        <w:keepNext/>
        <w:spacing w:before="240" w:after="60"/>
        <w:jc w:val="center"/>
        <w:outlineLvl w:val="0"/>
        <w:rPr>
          <w:rFonts w:ascii="Cambria" w:eastAsia="Times New Roman" w:hAnsi="Cambria"/>
          <w:b/>
          <w:bCs/>
          <w:kern w:val="32"/>
          <w:sz w:val="32"/>
          <w:szCs w:val="32"/>
        </w:rPr>
      </w:pPr>
      <w:r w:rsidRPr="005D1EB4">
        <w:rPr>
          <w:rFonts w:ascii="Cambria" w:eastAsia="Times New Roman" w:hAnsi="Cambria"/>
          <w:b/>
          <w:bCs/>
          <w:kern w:val="32"/>
          <w:sz w:val="32"/>
          <w:szCs w:val="32"/>
        </w:rPr>
        <w:t>Current/ Pending Contracts</w:t>
      </w:r>
    </w:p>
    <w:tbl>
      <w:tblPr>
        <w:tblW w:w="132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005"/>
        <w:gridCol w:w="4770"/>
        <w:gridCol w:w="2665"/>
        <w:gridCol w:w="2555"/>
      </w:tblGrid>
      <w:tr w:rsidR="00233AED" w:rsidRPr="00233AED" w:rsidTr="00AB4E70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05" w:type="dxa"/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Contractor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S</w:t>
            </w:r>
            <w:r>
              <w:rPr>
                <w:rFonts w:eastAsia="Times New Roman"/>
                <w:b/>
                <w:bCs/>
                <w:color w:val="000000"/>
              </w:rPr>
              <w:t>tatement of Work</w:t>
            </w:r>
          </w:p>
        </w:tc>
        <w:tc>
          <w:tcPr>
            <w:tcW w:w="2665" w:type="dxa"/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Dates</w:t>
            </w:r>
          </w:p>
        </w:tc>
        <w:tc>
          <w:tcPr>
            <w:tcW w:w="2555" w:type="dxa"/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Contract Amount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Level 1 A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ACHI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APCD+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06/01/2012 - 01/31/2014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500,051.22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ACHI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Outreach Education Campaign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08/20/2012 - 02/28/2013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1,515,743.76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DIS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Program Manager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5/14/2012 - 05/13/2013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150,420.00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UA Partners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Stakeholder Engagement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Pending approval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100,000.00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L&amp;E Actuary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Actuary Consultant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8/9/2012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203,000.00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Evaluation Consultant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Upcoming RFP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704,000.00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IT Development - Software Licensing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Under negotiation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400,000.00 </w:t>
            </w:r>
          </w:p>
        </w:tc>
      </w:tr>
      <w:tr w:rsidR="00AB4E70" w:rsidRPr="00233AED" w:rsidTr="00AB4E70">
        <w:trPr>
          <w:trHeight w:val="6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CAI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IT Development - Contract, Application, and Learning Management System 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03/08/2013 -02/21/2013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1,150,000.00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Legal Consultation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5/15/2013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     5,000.00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CCC0DA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INA</w:t>
            </w:r>
          </w:p>
        </w:tc>
        <w:tc>
          <w:tcPr>
            <w:tcW w:w="4770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Web Designer</w:t>
            </w:r>
          </w:p>
        </w:tc>
        <w:tc>
          <w:tcPr>
            <w:tcW w:w="266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12/5/2012</w:t>
            </w:r>
          </w:p>
        </w:tc>
        <w:tc>
          <w:tcPr>
            <w:tcW w:w="2555" w:type="dxa"/>
            <w:shd w:val="clear" w:color="000000" w:fill="CCC0DA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  10,200.00 </w:t>
            </w:r>
          </w:p>
        </w:tc>
      </w:tr>
    </w:tbl>
    <w:p w:rsidR="00233AED" w:rsidRDefault="00233AED"/>
    <w:p w:rsidR="00233AED" w:rsidRDefault="00233AED"/>
    <w:tbl>
      <w:tblPr>
        <w:tblW w:w="132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005"/>
        <w:gridCol w:w="4770"/>
        <w:gridCol w:w="2665"/>
        <w:gridCol w:w="2555"/>
      </w:tblGrid>
      <w:tr w:rsidR="00233AED" w:rsidRPr="00233AED" w:rsidTr="00AB4E70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05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Contractor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S</w:t>
            </w:r>
            <w:r>
              <w:rPr>
                <w:rFonts w:eastAsia="Times New Roman"/>
                <w:b/>
                <w:bCs/>
                <w:color w:val="000000"/>
              </w:rPr>
              <w:t>tatement of Work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Dates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Contract Amount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Level 1 B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</w:tr>
      <w:tr w:rsidR="00AB4E70" w:rsidRPr="00233AED" w:rsidTr="00AB4E70">
        <w:trPr>
          <w:trHeight w:val="90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First Data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Procurement Development, Planning Coordination and Integration, Overall Project MGT Consultant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1/1/2013 -  12/31/2013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726,750.00 </w:t>
            </w:r>
          </w:p>
        </w:tc>
      </w:tr>
      <w:tr w:rsidR="00AB4E70" w:rsidRPr="00233AED" w:rsidTr="00AB4E70">
        <w:trPr>
          <w:trHeight w:val="35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PCG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Navigator Program Development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2/22/2013 -  09/30/2013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  93,894.00 </w:t>
            </w:r>
          </w:p>
        </w:tc>
      </w:tr>
      <w:tr w:rsidR="00AB4E70" w:rsidRPr="00233AED" w:rsidTr="00AB4E70">
        <w:trPr>
          <w:trHeight w:val="35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PCG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QHP Consultant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2/22/2013 - 09/30/2013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219,000.00 </w:t>
            </w:r>
          </w:p>
        </w:tc>
      </w:tr>
      <w:tr w:rsidR="00AB4E70" w:rsidRPr="00233AED" w:rsidTr="00AB4E70">
        <w:trPr>
          <w:trHeight w:val="35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33AED">
              <w:rPr>
                <w:rFonts w:eastAsia="Times New Roman"/>
                <w:color w:val="000000"/>
              </w:rPr>
              <w:t>Manatt</w:t>
            </w:r>
            <w:proofErr w:type="spellEnd"/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Reinsurance Program Development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10/2/2012 - 09/30/2013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1,200,000.00 </w:t>
            </w:r>
          </w:p>
        </w:tc>
      </w:tr>
      <w:tr w:rsidR="00AB4E70" w:rsidRPr="00233AED" w:rsidTr="00AB4E70">
        <w:trPr>
          <w:trHeight w:val="30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IPA Contracts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In-Person Assister Entities to assist enrollment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Under negotiation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7,258,388.00 </w:t>
            </w:r>
          </w:p>
        </w:tc>
      </w:tr>
      <w:tr w:rsidR="00AB4E70" w:rsidRPr="00233AED" w:rsidTr="00AB4E70">
        <w:trPr>
          <w:trHeight w:val="600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Ark </w:t>
            </w:r>
            <w:proofErr w:type="spellStart"/>
            <w:r w:rsidRPr="00233AED">
              <w:rPr>
                <w:rFonts w:eastAsia="Times New Roman"/>
                <w:color w:val="000000"/>
              </w:rPr>
              <w:t>Dept</w:t>
            </w:r>
            <w:proofErr w:type="spellEnd"/>
            <w:r w:rsidRPr="00233AED">
              <w:rPr>
                <w:rFonts w:eastAsia="Times New Roman"/>
                <w:color w:val="000000"/>
              </w:rPr>
              <w:t xml:space="preserve"> of Health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Regional IPA Specialists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01/26/2013 - 09/26/2013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351,450.00 </w:t>
            </w:r>
          </w:p>
        </w:tc>
      </w:tr>
      <w:tr w:rsidR="00AB4E70" w:rsidRPr="00233AED" w:rsidTr="00AB4E70">
        <w:trPr>
          <w:trHeight w:val="645"/>
        </w:trPr>
        <w:tc>
          <w:tcPr>
            <w:tcW w:w="1240" w:type="dxa"/>
            <w:shd w:val="clear" w:color="000000" w:fill="95B3D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33AED">
              <w:rPr>
                <w:rFonts w:eastAsia="Times New Roman"/>
                <w:color w:val="000000"/>
              </w:rPr>
              <w:t>Mangan</w:t>
            </w:r>
            <w:proofErr w:type="spellEnd"/>
            <w:r w:rsidRPr="00233AED">
              <w:rPr>
                <w:rFonts w:eastAsia="Times New Roman"/>
                <w:color w:val="000000"/>
              </w:rPr>
              <w:t xml:space="preserve"> Holcomb Partners</w:t>
            </w:r>
          </w:p>
        </w:tc>
        <w:tc>
          <w:tcPr>
            <w:tcW w:w="4770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Outreach Education Campaign</w:t>
            </w:r>
          </w:p>
        </w:tc>
        <w:tc>
          <w:tcPr>
            <w:tcW w:w="266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Pending ALC approval</w:t>
            </w:r>
          </w:p>
        </w:tc>
        <w:tc>
          <w:tcPr>
            <w:tcW w:w="2555" w:type="dxa"/>
            <w:shd w:val="clear" w:color="000000" w:fill="95B3D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4,300,000.00 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33AED" w:rsidRPr="00233AED" w:rsidTr="00AB4E70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05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Contractor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S</w:t>
            </w:r>
            <w:r>
              <w:rPr>
                <w:rFonts w:eastAsia="Times New Roman"/>
                <w:b/>
                <w:bCs/>
                <w:color w:val="000000"/>
              </w:rPr>
              <w:t>tatement of Work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Dates</w:t>
            </w:r>
          </w:p>
        </w:tc>
        <w:tc>
          <w:tcPr>
            <w:tcW w:w="2555" w:type="dxa"/>
            <w:shd w:val="clear" w:color="auto" w:fill="auto"/>
            <w:vAlign w:val="bottom"/>
          </w:tcPr>
          <w:p w:rsidR="00233AED" w:rsidRPr="00233AED" w:rsidRDefault="00233AED" w:rsidP="005574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Contract Amount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Level 1 C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Arkansas </w:t>
            </w:r>
            <w:proofErr w:type="spellStart"/>
            <w:r w:rsidRPr="00233AED">
              <w:rPr>
                <w:rFonts w:eastAsia="Times New Roman"/>
                <w:color w:val="000000"/>
              </w:rPr>
              <w:t>HomeTown</w:t>
            </w:r>
            <w:proofErr w:type="spellEnd"/>
            <w:r w:rsidRPr="00233AED">
              <w:rPr>
                <w:rFonts w:eastAsia="Times New Roman"/>
                <w:color w:val="000000"/>
              </w:rPr>
              <w:t xml:space="preserve"> Health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Procurement Development, Planning Coordination and Integration, Overall Project MGT Consultant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333,073.00 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PCG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Continuation of Plan Management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227,000.00 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IPA Contracts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Continuation of existing contracts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9,020,500.00 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L&amp;E Actuary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Continuation of Actuarial Services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157,500.00 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Data </w:t>
            </w:r>
            <w:proofErr w:type="spellStart"/>
            <w:r w:rsidRPr="00233AED">
              <w:rPr>
                <w:rFonts w:eastAsia="Times New Roman"/>
                <w:color w:val="000000"/>
              </w:rPr>
              <w:t>Mgt</w:t>
            </w:r>
            <w:proofErr w:type="spellEnd"/>
            <w:r w:rsidRPr="00233AED">
              <w:rPr>
                <w:rFonts w:eastAsia="Times New Roman"/>
                <w:color w:val="000000"/>
              </w:rPr>
              <w:t xml:space="preserve"> &amp; Systems Integration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Continuation of Data </w:t>
            </w:r>
            <w:proofErr w:type="spellStart"/>
            <w:r w:rsidRPr="00233AED">
              <w:rPr>
                <w:rFonts w:eastAsia="Times New Roman"/>
                <w:color w:val="000000"/>
              </w:rPr>
              <w:t>Mgt</w:t>
            </w:r>
            <w:proofErr w:type="spellEnd"/>
            <w:r w:rsidRPr="00233AED">
              <w:rPr>
                <w:rFonts w:eastAsia="Times New Roman"/>
                <w:color w:val="000000"/>
              </w:rPr>
              <w:t xml:space="preserve"> &amp; Systems Integration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    150,240.00 </w:t>
            </w:r>
          </w:p>
        </w:tc>
      </w:tr>
      <w:tr w:rsidR="00233AED" w:rsidRPr="00233AED" w:rsidTr="00AB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233AE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To Be Determined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Continuation of Outreach Education Campaign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233AED" w:rsidRPr="00233AED" w:rsidRDefault="00233AED" w:rsidP="00233A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3AED">
              <w:rPr>
                <w:rFonts w:eastAsia="Times New Roman"/>
                <w:color w:val="000000"/>
              </w:rPr>
              <w:t xml:space="preserve"> $       5,196,450.00 </w:t>
            </w:r>
          </w:p>
        </w:tc>
      </w:tr>
    </w:tbl>
    <w:p w:rsidR="00CF53E4" w:rsidRPr="007A669B" w:rsidRDefault="00CF53E4" w:rsidP="006744B7">
      <w:pPr>
        <w:pStyle w:val="NoSpacing"/>
      </w:pPr>
    </w:p>
    <w:sectPr w:rsidR="00CF53E4" w:rsidRPr="007A669B" w:rsidSect="00233AED"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2D" w:rsidRDefault="00246C2D" w:rsidP="00D2513F">
      <w:pPr>
        <w:spacing w:after="0" w:line="240" w:lineRule="auto"/>
      </w:pPr>
      <w:r>
        <w:separator/>
      </w:r>
    </w:p>
  </w:endnote>
  <w:endnote w:type="continuationSeparator" w:id="0">
    <w:p w:rsidR="00246C2D" w:rsidRDefault="00246C2D" w:rsidP="00D2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383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513F" w:rsidRDefault="00D25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13F" w:rsidRDefault="00D25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2D" w:rsidRDefault="00246C2D" w:rsidP="00D2513F">
      <w:pPr>
        <w:spacing w:after="0" w:line="240" w:lineRule="auto"/>
      </w:pPr>
      <w:r>
        <w:separator/>
      </w:r>
    </w:p>
  </w:footnote>
  <w:footnote w:type="continuationSeparator" w:id="0">
    <w:p w:rsidR="00246C2D" w:rsidRDefault="00246C2D" w:rsidP="00D25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CB8"/>
    <w:multiLevelType w:val="hybridMultilevel"/>
    <w:tmpl w:val="527C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457E"/>
    <w:multiLevelType w:val="hybridMultilevel"/>
    <w:tmpl w:val="4FBEB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3738B"/>
    <w:multiLevelType w:val="hybridMultilevel"/>
    <w:tmpl w:val="0EE0F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2934CD"/>
    <w:multiLevelType w:val="hybridMultilevel"/>
    <w:tmpl w:val="BD2C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72809"/>
    <w:multiLevelType w:val="hybridMultilevel"/>
    <w:tmpl w:val="A7C60B4C"/>
    <w:lvl w:ilvl="0" w:tplc="0096BF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9D2C47"/>
    <w:multiLevelType w:val="hybridMultilevel"/>
    <w:tmpl w:val="51BCFBAC"/>
    <w:lvl w:ilvl="0" w:tplc="AC2A78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864395"/>
    <w:multiLevelType w:val="hybridMultilevel"/>
    <w:tmpl w:val="19F8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07495"/>
    <w:multiLevelType w:val="hybridMultilevel"/>
    <w:tmpl w:val="443E7ACC"/>
    <w:lvl w:ilvl="0" w:tplc="8C96B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F7579C"/>
    <w:multiLevelType w:val="hybridMultilevel"/>
    <w:tmpl w:val="78BEB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C03DAB"/>
    <w:multiLevelType w:val="hybridMultilevel"/>
    <w:tmpl w:val="FEA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059CD"/>
    <w:multiLevelType w:val="hybridMultilevel"/>
    <w:tmpl w:val="4482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E617A"/>
    <w:multiLevelType w:val="hybridMultilevel"/>
    <w:tmpl w:val="BF8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65A69"/>
    <w:multiLevelType w:val="hybridMultilevel"/>
    <w:tmpl w:val="8252F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55"/>
    <w:rsid w:val="000B6955"/>
    <w:rsid w:val="000E713D"/>
    <w:rsid w:val="001039C1"/>
    <w:rsid w:val="00191234"/>
    <w:rsid w:val="00191F49"/>
    <w:rsid w:val="001A64A5"/>
    <w:rsid w:val="00207B73"/>
    <w:rsid w:val="0023006E"/>
    <w:rsid w:val="00233AED"/>
    <w:rsid w:val="00246C2D"/>
    <w:rsid w:val="00282BD1"/>
    <w:rsid w:val="002939CB"/>
    <w:rsid w:val="002A157E"/>
    <w:rsid w:val="003435DD"/>
    <w:rsid w:val="00343AC9"/>
    <w:rsid w:val="003F749F"/>
    <w:rsid w:val="00480FB0"/>
    <w:rsid w:val="004E0C8F"/>
    <w:rsid w:val="004E6123"/>
    <w:rsid w:val="00522721"/>
    <w:rsid w:val="005C5C9B"/>
    <w:rsid w:val="005D1EB4"/>
    <w:rsid w:val="006169DB"/>
    <w:rsid w:val="00661A64"/>
    <w:rsid w:val="00674437"/>
    <w:rsid w:val="006744B7"/>
    <w:rsid w:val="006C7729"/>
    <w:rsid w:val="00700CD7"/>
    <w:rsid w:val="00734F0C"/>
    <w:rsid w:val="00736C4D"/>
    <w:rsid w:val="007A669B"/>
    <w:rsid w:val="007A71AE"/>
    <w:rsid w:val="007B2C2E"/>
    <w:rsid w:val="007E0544"/>
    <w:rsid w:val="007E145E"/>
    <w:rsid w:val="0083233C"/>
    <w:rsid w:val="008551FB"/>
    <w:rsid w:val="00862863"/>
    <w:rsid w:val="008D21D5"/>
    <w:rsid w:val="008E6453"/>
    <w:rsid w:val="0093375F"/>
    <w:rsid w:val="00976D17"/>
    <w:rsid w:val="0098293F"/>
    <w:rsid w:val="00A37147"/>
    <w:rsid w:val="00A966AC"/>
    <w:rsid w:val="00A9689E"/>
    <w:rsid w:val="00AB4E70"/>
    <w:rsid w:val="00AC0EB4"/>
    <w:rsid w:val="00AD03D6"/>
    <w:rsid w:val="00AD61EE"/>
    <w:rsid w:val="00B05AA1"/>
    <w:rsid w:val="00B630D3"/>
    <w:rsid w:val="00B6405A"/>
    <w:rsid w:val="00B64D5F"/>
    <w:rsid w:val="00B85368"/>
    <w:rsid w:val="00BD6FAB"/>
    <w:rsid w:val="00C30654"/>
    <w:rsid w:val="00C411D8"/>
    <w:rsid w:val="00CA516F"/>
    <w:rsid w:val="00CD575D"/>
    <w:rsid w:val="00CF0457"/>
    <w:rsid w:val="00CF53E4"/>
    <w:rsid w:val="00D2513F"/>
    <w:rsid w:val="00D6573B"/>
    <w:rsid w:val="00D71E22"/>
    <w:rsid w:val="00DE375B"/>
    <w:rsid w:val="00DF2999"/>
    <w:rsid w:val="00E0058F"/>
    <w:rsid w:val="00E522AF"/>
    <w:rsid w:val="00E775DE"/>
    <w:rsid w:val="00ED2E02"/>
    <w:rsid w:val="00EF6AAA"/>
    <w:rsid w:val="00F2297E"/>
    <w:rsid w:val="00FB40E7"/>
    <w:rsid w:val="00FC4BBD"/>
    <w:rsid w:val="00FD3B65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4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4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4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4B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4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4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744B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C8F"/>
    <w:pPr>
      <w:spacing w:after="0" w:line="240" w:lineRule="auto"/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93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75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5DE"/>
    <w:rPr>
      <w:color w:val="800080"/>
      <w:u w:val="single"/>
    </w:rPr>
  </w:style>
  <w:style w:type="paragraph" w:customStyle="1" w:styleId="xl63">
    <w:name w:val="xl63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64">
    <w:name w:val="xl64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5">
    <w:name w:val="xl65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Normal"/>
    <w:rsid w:val="00E775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0">
    <w:name w:val="xl70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2">
    <w:name w:val="xl72"/>
    <w:basedOn w:val="Normal"/>
    <w:rsid w:val="00E775D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Normal"/>
    <w:rsid w:val="00E775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5">
    <w:name w:val="xl75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6">
    <w:name w:val="xl76"/>
    <w:basedOn w:val="Normal"/>
    <w:rsid w:val="00E775D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E775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775D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Normal"/>
    <w:rsid w:val="00E775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8">
    <w:name w:val="xl88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E775DE"/>
    <w:pPr>
      <w:pBdr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rsid w:val="00E775DE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E775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3">
    <w:name w:val="xl93"/>
    <w:basedOn w:val="Normal"/>
    <w:rsid w:val="00E775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0">
    <w:name w:val="xl100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1">
    <w:name w:val="xl101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2">
    <w:name w:val="xl102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3">
    <w:name w:val="xl103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4">
    <w:name w:val="xl104"/>
    <w:basedOn w:val="Normal"/>
    <w:rsid w:val="00E775D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5">
    <w:name w:val="xl105"/>
    <w:basedOn w:val="Normal"/>
    <w:rsid w:val="00E775D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E775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rsid w:val="00E775D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9">
    <w:name w:val="xl109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2">
    <w:name w:val="xl112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6">
    <w:name w:val="xl116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1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13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4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4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4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4B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4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4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744B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C8F"/>
    <w:pPr>
      <w:spacing w:after="0" w:line="240" w:lineRule="auto"/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93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75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5DE"/>
    <w:rPr>
      <w:color w:val="800080"/>
      <w:u w:val="single"/>
    </w:rPr>
  </w:style>
  <w:style w:type="paragraph" w:customStyle="1" w:styleId="xl63">
    <w:name w:val="xl63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64">
    <w:name w:val="xl64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5">
    <w:name w:val="xl65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Normal"/>
    <w:rsid w:val="00E775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0">
    <w:name w:val="xl70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2">
    <w:name w:val="xl72"/>
    <w:basedOn w:val="Normal"/>
    <w:rsid w:val="00E775D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Normal"/>
    <w:rsid w:val="00E775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5">
    <w:name w:val="xl75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6">
    <w:name w:val="xl76"/>
    <w:basedOn w:val="Normal"/>
    <w:rsid w:val="00E775D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E775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775DE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E77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Normal"/>
    <w:rsid w:val="00E775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8">
    <w:name w:val="xl88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E775DE"/>
    <w:pPr>
      <w:pBdr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Normal"/>
    <w:rsid w:val="00E775DE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E775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3">
    <w:name w:val="xl93"/>
    <w:basedOn w:val="Normal"/>
    <w:rsid w:val="00E775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0">
    <w:name w:val="xl100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1">
    <w:name w:val="xl101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2">
    <w:name w:val="xl102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3">
    <w:name w:val="xl103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4">
    <w:name w:val="xl104"/>
    <w:basedOn w:val="Normal"/>
    <w:rsid w:val="00E775D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5">
    <w:name w:val="xl105"/>
    <w:basedOn w:val="Normal"/>
    <w:rsid w:val="00E775D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E775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rsid w:val="00E775D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E775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9">
    <w:name w:val="xl109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2">
    <w:name w:val="xl112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rsid w:val="00E775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rsid w:val="00E775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97DB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6">
    <w:name w:val="xl116"/>
    <w:basedOn w:val="Normal"/>
    <w:rsid w:val="00E775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1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1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nthia.Crone@Arkansas.Gov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EBAD-C2FE-427F-9859-BA777DA5FF50}"/>
</file>

<file path=customXml/itemProps2.xml><?xml version="1.0" encoding="utf-8"?>
<ds:datastoreItem xmlns:ds="http://schemas.openxmlformats.org/officeDocument/2006/customXml" ds:itemID="{6D4031B5-CAB0-43CC-9613-2D0361C8016B}"/>
</file>

<file path=customXml/itemProps3.xml><?xml version="1.0" encoding="utf-8"?>
<ds:datastoreItem xmlns:ds="http://schemas.openxmlformats.org/officeDocument/2006/customXml" ds:itemID="{B6C1A4D3-2B64-4810-B818-6F0B7228AC06}"/>
</file>

<file path=customXml/itemProps4.xml><?xml version="1.0" encoding="utf-8"?>
<ds:datastoreItem xmlns:ds="http://schemas.openxmlformats.org/officeDocument/2006/customXml" ds:itemID="{E437269A-FF8B-4F01-A745-47DECFCAD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3601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Insurance Department</Company>
  <LinksUpToDate>false</LinksUpToDate>
  <CharactersWithSpaces>24085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Seth Blomeley</dc:creator>
  <cp:lastModifiedBy>Cynthia Crone</cp:lastModifiedBy>
  <cp:revision>2</cp:revision>
  <cp:lastPrinted>2013-05-21T21:23:00Z</cp:lastPrinted>
  <dcterms:created xsi:type="dcterms:W3CDTF">2013-05-22T16:43:00Z</dcterms:created>
  <dcterms:modified xsi:type="dcterms:W3CDTF">2013-05-22T16:43:00Z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2098700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