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727421">
      <w:pPr>
        <w:rPr>
          <w:rFonts w:ascii="Times New Roman" w:hAnsi="Times New Roman"/>
          <w:b/>
          <w:sz w:val="24"/>
          <w:u w:val="single"/>
        </w:rPr>
      </w:pPr>
      <w:r>
        <w:rPr>
          <w:rFonts w:ascii="Times New Roman" w:hAnsi="Times New Roman"/>
          <w:b/>
          <w:sz w:val="24"/>
          <w:szCs w:val="24"/>
          <w:u w:val="single"/>
        </w:rPr>
        <w:t>DEPARTMENT OF HUMAN SERVICES, MEDICAL SERVICES</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727421">
        <w:rPr>
          <w:rFonts w:ascii="Times New Roman" w:hAnsi="Times New Roman"/>
          <w:sz w:val="24"/>
        </w:rPr>
        <w:t>DDS-ACS Increase Reserved Capacity</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F60460">
        <w:rPr>
          <w:rFonts w:ascii="Times New Roman" w:hAnsi="Times New Roman"/>
          <w:sz w:val="24"/>
        </w:rPr>
        <w:t>The number of reserved capacity slots in the DDS-ACS waiver will be increased from 60 to 100 slots effective July 1, 2013.  The reserved capacity slots are for the use of children with developmental disabilities who have been determined by DDS to require a ICF/MR level of care and who are in the custody of the Department of Human Services, Division of Children and Family Services.  It is necessary to increase the reserved capacity slots so the children can receive the services needed to live in the community, thereby presenting unnecessary institutionalization and reducing health costs.</w:t>
      </w:r>
    </w:p>
    <w:p w:rsidR="00F60460" w:rsidRDefault="00F60460">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7B39E8">
        <w:rPr>
          <w:rFonts w:ascii="Times New Roman" w:hAnsi="Times New Roman"/>
          <w:sz w:val="24"/>
        </w:rPr>
        <w:t>No public hearing was held on the proposed rule.  The public comment period expired on April 16, 2013.  The Department received no public comments.</w:t>
      </w:r>
    </w:p>
    <w:p w:rsidR="007B39E8" w:rsidRDefault="007B39E8">
      <w:pPr>
        <w:ind w:left="720"/>
        <w:rPr>
          <w:rFonts w:ascii="Times New Roman" w:hAnsi="Times New Roman"/>
          <w:sz w:val="24"/>
        </w:rPr>
      </w:pPr>
    </w:p>
    <w:p w:rsidR="007B39E8" w:rsidRDefault="007B39E8">
      <w:pPr>
        <w:ind w:left="720"/>
        <w:rPr>
          <w:rFonts w:ascii="Times New Roman" w:hAnsi="Times New Roman"/>
          <w:sz w:val="24"/>
        </w:rPr>
      </w:pPr>
      <w:r>
        <w:rPr>
          <w:rFonts w:ascii="Times New Roman" w:hAnsi="Times New Roman"/>
          <w:sz w:val="24"/>
        </w:rPr>
        <w:t>Isaac Linam, an attorney with the Bureau of Legislative Research, asked the following questions</w:t>
      </w:r>
      <w:r w:rsidR="00B1601C">
        <w:rPr>
          <w:rFonts w:ascii="Times New Roman" w:hAnsi="Times New Roman"/>
          <w:sz w:val="24"/>
        </w:rPr>
        <w:t xml:space="preserve"> concerning the original rule filing before it was amended to remove the </w:t>
      </w:r>
      <w:r w:rsidR="00B1601C" w:rsidRPr="00B1601C">
        <w:rPr>
          <w:rFonts w:ascii="Times New Roman" w:hAnsi="Times New Roman"/>
          <w:sz w:val="24"/>
        </w:rPr>
        <w:t>proposals regarding DDS Policy 1010 Service Concern Resolution, adding Behavior Analyst as a qualified provider of Consultation Services, clarifying language regarding qualifications of the direct service provider, and additional criminal background check language consistent</w:t>
      </w:r>
      <w:r w:rsidR="00B1601C">
        <w:rPr>
          <w:rFonts w:ascii="Times New Roman" w:hAnsi="Times New Roman"/>
          <w:sz w:val="24"/>
        </w:rPr>
        <w:t xml:space="preserve"> with A.C.A. §20-38-105.   The Department expects that the removed</w:t>
      </w:r>
      <w:r w:rsidR="00B1601C" w:rsidRPr="00B1601C">
        <w:rPr>
          <w:rFonts w:ascii="Times New Roman" w:hAnsi="Times New Roman"/>
          <w:sz w:val="24"/>
        </w:rPr>
        <w:t xml:space="preserve"> items will </w:t>
      </w:r>
      <w:r w:rsidR="00B1601C">
        <w:rPr>
          <w:rFonts w:ascii="Times New Roman" w:hAnsi="Times New Roman"/>
          <w:sz w:val="24"/>
        </w:rPr>
        <w:t>be addressed in a future filing</w:t>
      </w:r>
      <w:r>
        <w:rPr>
          <w:rFonts w:ascii="Times New Roman" w:hAnsi="Times New Roman"/>
          <w:sz w:val="24"/>
        </w:rPr>
        <w:t>:</w:t>
      </w:r>
    </w:p>
    <w:p w:rsidR="007B39E8" w:rsidRDefault="007B39E8">
      <w:pPr>
        <w:ind w:left="720"/>
        <w:rPr>
          <w:rFonts w:ascii="Times New Roman" w:hAnsi="Times New Roman"/>
          <w:sz w:val="24"/>
        </w:rPr>
      </w:pPr>
    </w:p>
    <w:p w:rsidR="007B39E8" w:rsidRPr="007B39E8" w:rsidRDefault="007B39E8" w:rsidP="007B39E8">
      <w:pPr>
        <w:ind w:left="720"/>
        <w:rPr>
          <w:rFonts w:ascii="Times New Roman" w:hAnsi="Times New Roman"/>
          <w:sz w:val="24"/>
        </w:rPr>
      </w:pPr>
      <w:r w:rsidRPr="007B39E8">
        <w:rPr>
          <w:rFonts w:ascii="Times New Roman" w:hAnsi="Times New Roman"/>
          <w:b/>
          <w:sz w:val="24"/>
        </w:rPr>
        <w:t>QUESTION #1:</w:t>
      </w:r>
      <w:r w:rsidRPr="007B39E8">
        <w:rPr>
          <w:rFonts w:ascii="Times New Roman" w:hAnsi="Times New Roman"/>
          <w:sz w:val="24"/>
        </w:rPr>
        <w:t xml:space="preserve">  Are the reserve capacity slots being increased from sixty (60) to one hundred (100) due to a particular federal or state requirement, or are the slots being increased under the general authority granted the Department under § 20-76-201?</w:t>
      </w:r>
      <w:r>
        <w:rPr>
          <w:rFonts w:ascii="Times New Roman" w:hAnsi="Times New Roman"/>
          <w:sz w:val="24"/>
        </w:rPr>
        <w:t xml:space="preserve">  </w:t>
      </w:r>
      <w:r>
        <w:rPr>
          <w:rFonts w:ascii="Times New Roman" w:hAnsi="Times New Roman"/>
          <w:b/>
          <w:sz w:val="24"/>
        </w:rPr>
        <w:t>RESPONSE:</w:t>
      </w:r>
      <w:r>
        <w:rPr>
          <w:rFonts w:ascii="Times New Roman" w:hAnsi="Times New Roman"/>
          <w:sz w:val="24"/>
        </w:rPr>
        <w:t xml:space="preserve">  </w:t>
      </w:r>
      <w:r w:rsidRPr="007B39E8">
        <w:rPr>
          <w:rFonts w:ascii="Times New Roman" w:hAnsi="Times New Roman"/>
          <w:sz w:val="24"/>
        </w:rPr>
        <w:t>The slots are being increased under the general authority granted the Department under § 20-76-201.</w:t>
      </w:r>
    </w:p>
    <w:p w:rsidR="007B39E8" w:rsidRPr="007B39E8" w:rsidRDefault="007B39E8" w:rsidP="007B39E8">
      <w:pPr>
        <w:ind w:left="720"/>
        <w:rPr>
          <w:rFonts w:ascii="Times New Roman" w:hAnsi="Times New Roman"/>
          <w:sz w:val="24"/>
        </w:rPr>
      </w:pPr>
    </w:p>
    <w:p w:rsidR="007B39E8" w:rsidRPr="007B39E8" w:rsidRDefault="0029069F" w:rsidP="007B39E8">
      <w:pPr>
        <w:ind w:left="720"/>
        <w:rPr>
          <w:rFonts w:ascii="Times New Roman" w:hAnsi="Times New Roman"/>
          <w:sz w:val="24"/>
        </w:rPr>
      </w:pPr>
      <w:r>
        <w:rPr>
          <w:rFonts w:ascii="Times New Roman" w:hAnsi="Times New Roman"/>
          <w:b/>
          <w:sz w:val="24"/>
        </w:rPr>
        <w:t xml:space="preserve">[THIS QUESTION RENDERED MOOT BY AMENDED RULE FILING] </w:t>
      </w:r>
      <w:r w:rsidR="007B39E8" w:rsidRPr="007B39E8">
        <w:rPr>
          <w:rFonts w:ascii="Times New Roman" w:hAnsi="Times New Roman"/>
          <w:b/>
          <w:sz w:val="24"/>
        </w:rPr>
        <w:t>QUESTION #2:</w:t>
      </w:r>
      <w:r w:rsidR="007B39E8" w:rsidRPr="007B39E8">
        <w:rPr>
          <w:rFonts w:ascii="Times New Roman" w:hAnsi="Times New Roman"/>
          <w:sz w:val="24"/>
        </w:rPr>
        <w:t xml:space="preserve">  In your Summary of the rule, you state that amendments are being made “to be consistent with the DDS Policy 1010 Service Concern Resolution”.  Firstly, can you please specify which part(s) of the rule are being amended to be consistent with the DDS Policy 1010 Service Concern Resolution?  Secondly, is this amendment being promulgated to be consistent with the DDS Policy 1010 Service Concern Resolution </w:t>
      </w:r>
      <w:r w:rsidR="007B39E8" w:rsidRPr="007B39E8">
        <w:rPr>
          <w:rFonts w:ascii="Times New Roman" w:hAnsi="Times New Roman"/>
          <w:b/>
          <w:sz w:val="24"/>
        </w:rPr>
        <w:t>as it currently exists</w:t>
      </w:r>
      <w:r w:rsidR="007B39E8" w:rsidRPr="007B39E8">
        <w:rPr>
          <w:rFonts w:ascii="Times New Roman" w:hAnsi="Times New Roman"/>
          <w:sz w:val="24"/>
        </w:rPr>
        <w:t xml:space="preserve"> or </w:t>
      </w:r>
      <w:r w:rsidR="007B39E8" w:rsidRPr="007B39E8">
        <w:rPr>
          <w:rFonts w:ascii="Times New Roman" w:hAnsi="Times New Roman"/>
          <w:b/>
          <w:sz w:val="24"/>
        </w:rPr>
        <w:t xml:space="preserve">as it is being amended </w:t>
      </w:r>
      <w:r w:rsidR="007B39E8" w:rsidRPr="007B39E8">
        <w:rPr>
          <w:rFonts w:ascii="Times New Roman" w:hAnsi="Times New Roman"/>
          <w:sz w:val="24"/>
        </w:rPr>
        <w:t>currently through rules promulgation?</w:t>
      </w:r>
      <w:r w:rsidR="007B39E8">
        <w:rPr>
          <w:rFonts w:ascii="Times New Roman" w:hAnsi="Times New Roman"/>
          <w:sz w:val="24"/>
        </w:rPr>
        <w:t xml:space="preserve">  </w:t>
      </w:r>
      <w:r w:rsidR="007B39E8">
        <w:rPr>
          <w:rFonts w:ascii="Times New Roman" w:hAnsi="Times New Roman"/>
          <w:b/>
          <w:sz w:val="24"/>
        </w:rPr>
        <w:t>RESPONSE:</w:t>
      </w:r>
      <w:r w:rsidR="007B39E8">
        <w:rPr>
          <w:rFonts w:ascii="Times New Roman" w:hAnsi="Times New Roman"/>
          <w:sz w:val="24"/>
        </w:rPr>
        <w:t xml:space="preserve">  </w:t>
      </w:r>
      <w:r w:rsidR="007B39E8" w:rsidRPr="007B39E8">
        <w:rPr>
          <w:rFonts w:ascii="Times New Roman" w:hAnsi="Times New Roman"/>
          <w:sz w:val="24"/>
        </w:rPr>
        <w:t xml:space="preserve">The DDS Alternative Community Services 1915(c) Home and Community Based Waiver application is being amended to reflect the DDS Policy 1010 </w:t>
      </w:r>
      <w:r w:rsidR="007B39E8" w:rsidRPr="007B39E8">
        <w:rPr>
          <w:rFonts w:ascii="Times New Roman" w:hAnsi="Times New Roman"/>
          <w:sz w:val="24"/>
          <w:u w:val="single"/>
        </w:rPr>
        <w:t>as it is being amended.</w:t>
      </w:r>
      <w:r w:rsidR="007B39E8" w:rsidRPr="007B39E8">
        <w:rPr>
          <w:rFonts w:ascii="Times New Roman" w:hAnsi="Times New Roman"/>
          <w:sz w:val="24"/>
        </w:rPr>
        <w:t xml:space="preserve">  The intention is to promulgate the CMS-approved amended waiver application and the DDS Policy 1010 concurrently. In the waiver application, Appendix G-1 and G-2, which deal with participant safeguards, were revised to refer to DDS Policy 1010 (as being amended).    </w:t>
      </w:r>
    </w:p>
    <w:p w:rsidR="007B39E8" w:rsidRPr="007B39E8" w:rsidRDefault="007B39E8" w:rsidP="007B39E8">
      <w:pPr>
        <w:ind w:left="720"/>
        <w:rPr>
          <w:rFonts w:ascii="Times New Roman" w:hAnsi="Times New Roman"/>
          <w:sz w:val="24"/>
        </w:rPr>
      </w:pPr>
    </w:p>
    <w:p w:rsidR="007B39E8" w:rsidRPr="007B39E8" w:rsidRDefault="007B39E8" w:rsidP="007B39E8">
      <w:pPr>
        <w:ind w:left="720"/>
        <w:rPr>
          <w:rFonts w:ascii="Times New Roman" w:hAnsi="Times New Roman"/>
          <w:sz w:val="24"/>
        </w:rPr>
      </w:pPr>
      <w:r w:rsidRPr="007B39E8">
        <w:rPr>
          <w:rFonts w:ascii="Times New Roman" w:hAnsi="Times New Roman"/>
          <w:b/>
          <w:sz w:val="24"/>
        </w:rPr>
        <w:t>QUESTION #3:</w:t>
      </w:r>
      <w:r w:rsidRPr="007B39E8">
        <w:rPr>
          <w:rFonts w:ascii="Times New Roman" w:hAnsi="Times New Roman"/>
          <w:sz w:val="24"/>
        </w:rPr>
        <w:t xml:space="preserve">  In Appendix C: Participant Services, C-2: General Service Specifications (1 of 3), your amended rule requires criminal background checks for all “employees that have unsupervised access to individuals with disabilities served by the </w:t>
      </w:r>
      <w:r w:rsidRPr="007B39E8">
        <w:rPr>
          <w:rFonts w:ascii="Times New Roman" w:hAnsi="Times New Roman"/>
          <w:sz w:val="24"/>
        </w:rPr>
        <w:lastRenderedPageBreak/>
        <w:t>provider”, the language of which appears to have been derived from § 20-38-101(3)(A)(i), which is part of the definition of “Employee” as it relates to the criminal background checks laws.  However, an individual only meets the definition of “Employee” when not only § 20-38-101(3)(A)(i) is present but also (3)(A)(ii).  In other words, for an individual to be an employee for criminal background check purposes, the individual must not only “have unsupervised access to individuals with disabilities”, but must also either: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“(a) [Provide] care to clients of a service provider on behalf of, under the supervision of, or by arrangement with the service provider;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(b)  [Be] employed by a service provider to provide care to clients of the service provider;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(c)  [Be] a temporary employee placed by an employment agency with a service provider to provide care to clients of the service provider; or</w:t>
      </w:r>
    </w:p>
    <w:p w:rsidR="007B39E8" w:rsidRPr="007B39E8" w:rsidRDefault="007B39E8" w:rsidP="007B39E8">
      <w:pPr>
        <w:ind w:left="720"/>
        <w:rPr>
          <w:rFonts w:ascii="Times New Roman" w:hAnsi="Times New Roman"/>
          <w:sz w:val="24"/>
        </w:rPr>
      </w:pPr>
      <w:r w:rsidRPr="007B39E8">
        <w:rPr>
          <w:rFonts w:ascii="Times New Roman" w:hAnsi="Times New Roman"/>
          <w:sz w:val="24"/>
        </w:rPr>
        <w:t xml:space="preserve"> (d)  [Reside] in an alternative living home in which services are provided to individuals with developmental disabilities.”</w:t>
      </w:r>
    </w:p>
    <w:p w:rsidR="007B39E8" w:rsidRPr="007B39E8" w:rsidRDefault="007B39E8" w:rsidP="007B39E8">
      <w:pPr>
        <w:ind w:left="720"/>
        <w:rPr>
          <w:rFonts w:ascii="Times New Roman" w:hAnsi="Times New Roman"/>
          <w:sz w:val="24"/>
        </w:rPr>
      </w:pPr>
      <w:r w:rsidRPr="007B39E8">
        <w:rPr>
          <w:rFonts w:ascii="Times New Roman" w:hAnsi="Times New Roman"/>
          <w:sz w:val="24"/>
        </w:rPr>
        <w:t>See Ark. Code Ann. § 20-38-101(3)(A)(ii).</w:t>
      </w:r>
    </w:p>
    <w:p w:rsidR="007B39E8" w:rsidRPr="001C1ED9" w:rsidRDefault="007B39E8" w:rsidP="001C1ED9">
      <w:pPr>
        <w:ind w:left="720"/>
        <w:rPr>
          <w:rFonts w:ascii="Times New Roman" w:hAnsi="Times New Roman"/>
          <w:sz w:val="24"/>
        </w:rPr>
      </w:pPr>
      <w:r w:rsidRPr="007B39E8">
        <w:rPr>
          <w:rFonts w:ascii="Times New Roman" w:hAnsi="Times New Roman"/>
          <w:sz w:val="24"/>
        </w:rPr>
        <w:t>As such, why did you omit the second requirement found in § 20-38-101(3)(A)(ii) for an individual to be an employee subject to a criminal background check?</w:t>
      </w:r>
      <w:r>
        <w:rPr>
          <w:rFonts w:ascii="Times New Roman" w:hAnsi="Times New Roman"/>
          <w:sz w:val="24"/>
        </w:rPr>
        <w:t xml:space="preserve">  </w:t>
      </w:r>
      <w:r>
        <w:rPr>
          <w:rFonts w:ascii="Times New Roman" w:hAnsi="Times New Roman"/>
          <w:b/>
          <w:sz w:val="24"/>
        </w:rPr>
        <w:t xml:space="preserve">RESPONSE:  </w:t>
      </w:r>
      <w:r w:rsidRPr="007B39E8">
        <w:rPr>
          <w:rFonts w:ascii="Times New Roman" w:hAnsi="Times New Roman"/>
          <w:sz w:val="24"/>
        </w:rPr>
        <w:t xml:space="preserve">Appendix C-2: General Service Specifications requests the state to specify state policies concerning the conduct of criminal history and/or background investigations of </w:t>
      </w:r>
      <w:r w:rsidRPr="007B39E8">
        <w:rPr>
          <w:rFonts w:ascii="Times New Roman" w:hAnsi="Times New Roman"/>
          <w:sz w:val="24"/>
          <w:u w:val="single"/>
        </w:rPr>
        <w:t>individuals who provide waiver services.</w:t>
      </w:r>
      <w:r w:rsidRPr="007B39E8">
        <w:rPr>
          <w:rFonts w:ascii="Times New Roman" w:hAnsi="Times New Roman"/>
          <w:sz w:val="24"/>
        </w:rPr>
        <w:t xml:space="preserve">  As such, the information provided to CMS by DMS in the waiver application refers to those individuals who meet (3)(a)(ii).  It is inherent.  In the waiver application, every applicable section includes template language from CMS which states: “State laws, regulations and policies referenced in this description are available to CMS upon request through the Medicaid or the operating agency (if applicable)” DMS is required to specify or reference the law, regulation, or policy, but has, in this instance, included some of the wording from § 20-38-101 </w:t>
      </w:r>
      <w:r w:rsidRPr="001C1ED9">
        <w:rPr>
          <w:rFonts w:ascii="Times New Roman" w:hAnsi="Times New Roman"/>
          <w:i/>
          <w:sz w:val="24"/>
        </w:rPr>
        <w:t>to amplify understanding</w:t>
      </w:r>
      <w:r w:rsidRPr="007B39E8">
        <w:rPr>
          <w:rFonts w:ascii="Times New Roman" w:hAnsi="Times New Roman"/>
          <w:sz w:val="24"/>
        </w:rPr>
        <w:t>.  All laws, regulations or policies referenced are available to CMS for review upon request.</w:t>
      </w:r>
    </w:p>
    <w:p w:rsidR="007B39E8" w:rsidRPr="007B39E8" w:rsidRDefault="007B39E8" w:rsidP="007B39E8">
      <w:pPr>
        <w:ind w:left="720"/>
        <w:rPr>
          <w:rFonts w:ascii="Times New Roman" w:hAnsi="Times New Roman"/>
          <w:sz w:val="24"/>
        </w:rPr>
      </w:pPr>
    </w:p>
    <w:p w:rsidR="007B39E8" w:rsidRPr="00105283" w:rsidRDefault="007B39E8" w:rsidP="007B39E8">
      <w:pPr>
        <w:ind w:left="720"/>
        <w:rPr>
          <w:rFonts w:ascii="Times New Roman" w:hAnsi="Times New Roman"/>
          <w:sz w:val="24"/>
        </w:rPr>
      </w:pPr>
      <w:r w:rsidRPr="007B39E8">
        <w:rPr>
          <w:rFonts w:ascii="Times New Roman" w:hAnsi="Times New Roman"/>
          <w:b/>
          <w:sz w:val="24"/>
        </w:rPr>
        <w:t>QUESTION #4:</w:t>
      </w:r>
      <w:r w:rsidRPr="007B39E8">
        <w:rPr>
          <w:rFonts w:ascii="Times New Roman" w:hAnsi="Times New Roman"/>
          <w:sz w:val="24"/>
        </w:rPr>
        <w:t xml:space="preserve">  Are the amendments found in Appendix G being made due to a particular federal or state requirement, or are the slots being increased under the general authority granted the Department under § 20-76-201?</w:t>
      </w:r>
      <w:r w:rsidR="00105283">
        <w:rPr>
          <w:rFonts w:ascii="Times New Roman" w:hAnsi="Times New Roman"/>
          <w:sz w:val="24"/>
        </w:rPr>
        <w:t xml:space="preserve">  </w:t>
      </w:r>
      <w:r w:rsidR="00105283">
        <w:rPr>
          <w:rFonts w:ascii="Times New Roman" w:hAnsi="Times New Roman"/>
          <w:b/>
          <w:sz w:val="24"/>
        </w:rPr>
        <w:t>RESPONSE:</w:t>
      </w:r>
      <w:r w:rsidR="00105283">
        <w:rPr>
          <w:rFonts w:ascii="Times New Roman" w:hAnsi="Times New Roman"/>
          <w:sz w:val="24"/>
        </w:rPr>
        <w:t xml:space="preserve">  </w:t>
      </w:r>
      <w:r w:rsidR="004C7DE6" w:rsidRPr="004C7DE6">
        <w:rPr>
          <w:rFonts w:ascii="Times New Roman" w:hAnsi="Times New Roman"/>
          <w:sz w:val="24"/>
        </w:rPr>
        <w:t xml:space="preserve">DMS is requesting that CMS allow </w:t>
      </w:r>
      <w:r w:rsidR="004C7DE6" w:rsidRPr="004C7DE6">
        <w:rPr>
          <w:rFonts w:ascii="Times New Roman" w:hAnsi="Times New Roman"/>
          <w:sz w:val="24"/>
          <w:u w:val="single"/>
        </w:rPr>
        <w:t>one</w:t>
      </w:r>
      <w:r w:rsidR="004C7DE6" w:rsidRPr="004C7DE6">
        <w:rPr>
          <w:rFonts w:ascii="Times New Roman" w:hAnsi="Times New Roman"/>
          <w:sz w:val="24"/>
        </w:rPr>
        <w:t> amendment of the 1915(c) waiver</w:t>
      </w:r>
      <w:r w:rsidR="00B424AC">
        <w:rPr>
          <w:rFonts w:ascii="Times New Roman" w:hAnsi="Times New Roman"/>
          <w:sz w:val="24"/>
        </w:rPr>
        <w:t>.  [</w:t>
      </w:r>
      <w:r w:rsidR="00B424AC" w:rsidRPr="00B424AC">
        <w:rPr>
          <w:rFonts w:ascii="Times New Roman" w:hAnsi="Times New Roman"/>
          <w:sz w:val="24"/>
        </w:rPr>
        <w:t>On June 6, 2013, CMS approved the amendment to the DDS-ACS 1915(c) waiver as requested.</w:t>
      </w:r>
      <w:r w:rsidR="00B424AC">
        <w:rPr>
          <w:rFonts w:ascii="Times New Roman" w:hAnsi="Times New Roman"/>
          <w:sz w:val="24"/>
        </w:rPr>
        <w:t>]</w:t>
      </w:r>
      <w:r w:rsidR="004C7DE6" w:rsidRPr="004C7DE6">
        <w:rPr>
          <w:rFonts w:ascii="Times New Roman" w:hAnsi="Times New Roman"/>
          <w:sz w:val="24"/>
        </w:rPr>
        <w:t xml:space="preserve">  That amended waiver includes all revisions as we have presented in the request to promulgate the CMS- approved </w:t>
      </w:r>
      <w:r w:rsidR="004C7DE6" w:rsidRPr="004C7DE6">
        <w:rPr>
          <w:rFonts w:ascii="Times New Roman" w:hAnsi="Times New Roman"/>
          <w:sz w:val="24"/>
          <w:u w:val="single"/>
        </w:rPr>
        <w:t>amended waiver</w:t>
      </w:r>
      <w:r w:rsidR="004C7DE6" w:rsidRPr="004C7DE6">
        <w:rPr>
          <w:rFonts w:ascii="Times New Roman" w:hAnsi="Times New Roman"/>
          <w:sz w:val="24"/>
        </w:rPr>
        <w:t>.  Appendix G of the 1915(c) waiver application deals with Participant Safeguards and not slots.  The slots in the waiver are being increased by 40 overall, all 40 of which will be “reserved capacity slots” – meaning they will be exclusively used for children who come into DCFS custody who meet the required institutional level of care (ICF/MR) for the waiver and need home and community based services to avoid institutionalization.  As referenced above in Question #1, the slots are being increased under the general authority granted the Department under § 20-76-201.</w:t>
      </w:r>
    </w:p>
    <w:p w:rsidR="007B39E8" w:rsidRPr="007B39E8" w:rsidRDefault="007B39E8" w:rsidP="007B39E8">
      <w:pPr>
        <w:ind w:left="720"/>
        <w:rPr>
          <w:rFonts w:ascii="Times New Roman" w:hAnsi="Times New Roman"/>
          <w:sz w:val="24"/>
        </w:rPr>
      </w:pPr>
    </w:p>
    <w:p w:rsidR="004C7DE6" w:rsidRPr="004C7DE6" w:rsidRDefault="007B39E8" w:rsidP="004C7DE6">
      <w:pPr>
        <w:ind w:left="720"/>
        <w:rPr>
          <w:rFonts w:ascii="Times New Roman" w:hAnsi="Times New Roman"/>
          <w:sz w:val="24"/>
        </w:rPr>
      </w:pPr>
      <w:r w:rsidRPr="007B39E8">
        <w:rPr>
          <w:rFonts w:ascii="Times New Roman" w:hAnsi="Times New Roman"/>
          <w:b/>
          <w:sz w:val="24"/>
        </w:rPr>
        <w:t>QUESTION #5:</w:t>
      </w:r>
      <w:r w:rsidRPr="007B39E8">
        <w:rPr>
          <w:rFonts w:ascii="Times New Roman" w:hAnsi="Times New Roman"/>
          <w:sz w:val="24"/>
        </w:rPr>
        <w:t xml:space="preserve">  Can you provide a brief explanation for the reason various numbers are being changed in Appendix J?</w:t>
      </w:r>
      <w:r w:rsidR="004C7DE6">
        <w:rPr>
          <w:rFonts w:ascii="Times New Roman" w:hAnsi="Times New Roman"/>
          <w:sz w:val="24"/>
        </w:rPr>
        <w:t xml:space="preserve">  </w:t>
      </w:r>
      <w:r w:rsidR="004C7DE6">
        <w:rPr>
          <w:rFonts w:ascii="Times New Roman" w:hAnsi="Times New Roman"/>
          <w:b/>
          <w:sz w:val="24"/>
        </w:rPr>
        <w:t>RESPONSE:</w:t>
      </w:r>
      <w:r w:rsidR="004C7DE6">
        <w:rPr>
          <w:rFonts w:ascii="Times New Roman" w:hAnsi="Times New Roman"/>
          <w:sz w:val="24"/>
        </w:rPr>
        <w:t xml:space="preserve">  </w:t>
      </w:r>
      <w:r w:rsidR="004C7DE6" w:rsidRPr="004C7DE6">
        <w:rPr>
          <w:rFonts w:ascii="Times New Roman" w:hAnsi="Times New Roman"/>
          <w:sz w:val="24"/>
        </w:rPr>
        <w:t xml:space="preserve">The DDS ACS 1915(c) waiver as approved is effective 7/1/2010 – 7/1/2014.  Because we have requested CMS to allow an </w:t>
      </w:r>
      <w:r w:rsidR="004C7DE6" w:rsidRPr="004C7DE6">
        <w:rPr>
          <w:rFonts w:ascii="Times New Roman" w:hAnsi="Times New Roman"/>
          <w:sz w:val="24"/>
        </w:rPr>
        <w:lastRenderedPageBreak/>
        <w:t>amendment to the waiver effective 7/1/2013, we are requesting CMS to allow us to amend Waiver Year 5, adding a total of 40 reserved capacity slots for that waiver year</w:t>
      </w:r>
      <w:r w:rsidR="00E36825">
        <w:rPr>
          <w:rFonts w:ascii="Times New Roman" w:hAnsi="Times New Roman"/>
          <w:sz w:val="24"/>
        </w:rPr>
        <w:t>. [</w:t>
      </w:r>
      <w:r w:rsidR="00E36825" w:rsidRPr="00E36825">
        <w:rPr>
          <w:rFonts w:ascii="Times New Roman" w:hAnsi="Times New Roman"/>
          <w:sz w:val="24"/>
        </w:rPr>
        <w:t>On June 6, 2013, CMS approved the amendment to the DDS-ACS 1915(c) waiver as requested.</w:t>
      </w:r>
      <w:r w:rsidR="00E36825">
        <w:rPr>
          <w:rFonts w:ascii="Times New Roman" w:hAnsi="Times New Roman"/>
          <w:sz w:val="24"/>
        </w:rPr>
        <w:t>]</w:t>
      </w:r>
      <w:r w:rsidR="004C7DE6" w:rsidRPr="004C7DE6">
        <w:rPr>
          <w:rFonts w:ascii="Times New Roman" w:hAnsi="Times New Roman"/>
          <w:sz w:val="24"/>
        </w:rPr>
        <w:t xml:space="preserve">  A 1915(c) Home and Community Based waiver application is required to demonstrate to CMS </w:t>
      </w:r>
      <w:r w:rsidR="004C7DE6" w:rsidRPr="004C7DE6">
        <w:rPr>
          <w:rFonts w:ascii="Times New Roman" w:hAnsi="Times New Roman"/>
          <w:sz w:val="24"/>
          <w:u w:val="single"/>
        </w:rPr>
        <w:t>cost neutrality</w:t>
      </w:r>
      <w:r w:rsidR="004C7DE6" w:rsidRPr="004C7DE6">
        <w:rPr>
          <w:rFonts w:ascii="Times New Roman" w:hAnsi="Times New Roman"/>
          <w:sz w:val="24"/>
        </w:rPr>
        <w:t xml:space="preserve"> (in the aggregate) in comparison to the costs of institutionalized care (at ICF/MR level of care) for the participants.  Appendix J is the cost neutrality demonstration and explains the derivation and methodology for all the </w:t>
      </w:r>
      <w:r w:rsidR="004C7DE6" w:rsidRPr="004C7DE6">
        <w:rPr>
          <w:rFonts w:ascii="Times New Roman" w:hAnsi="Times New Roman"/>
          <w:sz w:val="24"/>
          <w:u w:val="single"/>
        </w:rPr>
        <w:t>estimates</w:t>
      </w:r>
      <w:r w:rsidR="004C7DE6" w:rsidRPr="004C7DE6">
        <w:rPr>
          <w:rFonts w:ascii="Times New Roman" w:hAnsi="Times New Roman"/>
          <w:sz w:val="24"/>
        </w:rPr>
        <w:t xml:space="preserve">. </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The numbers in certain sections were revised:</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b/>
          <w:bCs/>
          <w:sz w:val="24"/>
        </w:rPr>
        <w:t>J-1</w:t>
      </w:r>
      <w:r w:rsidRPr="004C7DE6">
        <w:rPr>
          <w:rFonts w:ascii="Times New Roman" w:hAnsi="Times New Roman"/>
          <w:sz w:val="24"/>
        </w:rPr>
        <w:t xml:space="preserve"> gives the composite overview for cost neutrality, using the “Factor D” which is calculated in the “Derivation of Estimates” tables 5-9, for each waiver year.  The only change is to waiver year 5 (9 of 9), as explained above.  </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The explanation of the derivation of all estimates in the composite is provided in J-2 (c).  In brief, the factors in the composite overview are as follows:</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Factor D: The estimate of the average annual cost per ACS Waiver participant of waiver services</w:t>
      </w:r>
    </w:p>
    <w:p w:rsidR="004C7DE6" w:rsidRPr="004C7DE6" w:rsidRDefault="004C7DE6" w:rsidP="004C7DE6">
      <w:pPr>
        <w:ind w:left="720"/>
        <w:rPr>
          <w:rFonts w:ascii="Times New Roman" w:hAnsi="Times New Roman"/>
          <w:sz w:val="24"/>
        </w:rPr>
      </w:pPr>
      <w:r w:rsidRPr="004C7DE6">
        <w:rPr>
          <w:rFonts w:ascii="Times New Roman" w:hAnsi="Times New Roman"/>
          <w:sz w:val="24"/>
        </w:rPr>
        <w:t>Factor D’: The estimate of the average annual cost of other state plan services utilized by ACS waiver participants</w:t>
      </w:r>
    </w:p>
    <w:p w:rsidR="004C7DE6" w:rsidRPr="004C7DE6" w:rsidRDefault="004C7DE6" w:rsidP="004C7DE6">
      <w:pPr>
        <w:ind w:left="720"/>
        <w:rPr>
          <w:rFonts w:ascii="Times New Roman" w:hAnsi="Times New Roman"/>
          <w:sz w:val="24"/>
        </w:rPr>
      </w:pPr>
      <w:r w:rsidRPr="004C7DE6">
        <w:rPr>
          <w:rFonts w:ascii="Times New Roman" w:hAnsi="Times New Roman"/>
          <w:sz w:val="24"/>
        </w:rPr>
        <w:t>D + D’ : estimates the average annual cost of ALL services (waiver, state plan) utilized by ACS waiver participants</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 xml:space="preserve">Factor G: The estimate of the average annual cost of institutionalized care at the ICF/MR level of care </w:t>
      </w:r>
    </w:p>
    <w:p w:rsidR="004C7DE6" w:rsidRPr="004C7DE6" w:rsidRDefault="004C7DE6" w:rsidP="004C7DE6">
      <w:pPr>
        <w:ind w:left="720"/>
        <w:rPr>
          <w:rFonts w:ascii="Times New Roman" w:hAnsi="Times New Roman"/>
          <w:sz w:val="24"/>
        </w:rPr>
      </w:pPr>
      <w:r w:rsidRPr="004C7DE6">
        <w:rPr>
          <w:rFonts w:ascii="Times New Roman" w:hAnsi="Times New Roman"/>
          <w:sz w:val="24"/>
        </w:rPr>
        <w:t>Factor G’: The estimate of the average annual cost of other state plan services utilized by the institutionalized ICF/MR beneficiary</w:t>
      </w:r>
    </w:p>
    <w:p w:rsidR="004C7DE6" w:rsidRPr="004C7DE6" w:rsidRDefault="004C7DE6" w:rsidP="004C7DE6">
      <w:pPr>
        <w:ind w:left="720"/>
        <w:rPr>
          <w:rFonts w:ascii="Times New Roman" w:hAnsi="Times New Roman"/>
          <w:sz w:val="24"/>
        </w:rPr>
      </w:pPr>
      <w:r w:rsidRPr="004C7DE6">
        <w:rPr>
          <w:rFonts w:ascii="Times New Roman" w:hAnsi="Times New Roman"/>
          <w:sz w:val="24"/>
        </w:rPr>
        <w:t>G + G’:  estimates the average annual cost of ALL services for the institutionalized beneficiary</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sz w:val="24"/>
        </w:rPr>
        <w:t>Column 8 reflects the difference between estimated average annual cost of institutionalized care, and the estimated average annual cost all home and community based and state plan services received by an individual who chooses waiver services over institutionalization.  As demonstrated, in year 5 of the waiver the estimated annual average “savings” to the state for a person who chooses to receive home and community based services rather than institutionalization is $16,292.56.</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i/>
          <w:iCs/>
          <w:sz w:val="24"/>
        </w:rPr>
      </w:pPr>
      <w:r w:rsidRPr="004C7DE6">
        <w:rPr>
          <w:rFonts w:ascii="Times New Roman" w:hAnsi="Times New Roman"/>
          <w:b/>
          <w:bCs/>
          <w:sz w:val="24"/>
        </w:rPr>
        <w:t>J-2 (a) (1 of 9)</w:t>
      </w:r>
      <w:r w:rsidRPr="004C7DE6">
        <w:rPr>
          <w:rFonts w:ascii="Times New Roman" w:hAnsi="Times New Roman"/>
          <w:sz w:val="24"/>
        </w:rPr>
        <w:t xml:space="preserve">  reflects the requested increase of 40 slots, thus increases the total unduplicated participants served in waiver year 5 to 4303.  </w:t>
      </w:r>
      <w:r w:rsidRPr="004C7DE6">
        <w:rPr>
          <w:rFonts w:ascii="Times New Roman" w:hAnsi="Times New Roman"/>
          <w:i/>
          <w:iCs/>
          <w:sz w:val="24"/>
        </w:rPr>
        <w:t>(I see the markup provided has a typo in J-1, and shows 4303 in the left column, and 4304 in the right.  Both numbers should be 4303.  The waiver amendment was submitted correctly to CMS with 4303 in both columns.)</w:t>
      </w:r>
    </w:p>
    <w:p w:rsidR="004C7DE6" w:rsidRPr="004C7DE6" w:rsidRDefault="004C7DE6" w:rsidP="004C7DE6">
      <w:pPr>
        <w:ind w:left="720"/>
        <w:rPr>
          <w:rFonts w:ascii="Times New Roman" w:hAnsi="Times New Roman"/>
          <w:sz w:val="24"/>
        </w:rPr>
      </w:pPr>
    </w:p>
    <w:p w:rsidR="004C7DE6" w:rsidRPr="004C7DE6" w:rsidRDefault="004C7DE6" w:rsidP="004C7DE6">
      <w:pPr>
        <w:ind w:left="720"/>
        <w:rPr>
          <w:rFonts w:ascii="Times New Roman" w:hAnsi="Times New Roman"/>
          <w:sz w:val="24"/>
        </w:rPr>
      </w:pPr>
      <w:r w:rsidRPr="004C7DE6">
        <w:rPr>
          <w:rFonts w:ascii="Times New Roman" w:hAnsi="Times New Roman"/>
          <w:b/>
          <w:bCs/>
          <w:sz w:val="24"/>
        </w:rPr>
        <w:t xml:space="preserve">J-2 (9 of 9) </w:t>
      </w:r>
      <w:r w:rsidRPr="004C7DE6">
        <w:rPr>
          <w:rFonts w:ascii="Times New Roman" w:hAnsi="Times New Roman"/>
          <w:sz w:val="24"/>
        </w:rPr>
        <w:t xml:space="preserve">is a table for Waiver Year 5 that shows the breakout of the services provided through the DDS ACS waiver, and the estimates of costs (as submitted for the 7/1/2010 </w:t>
      </w:r>
      <w:r w:rsidRPr="004C7DE6">
        <w:rPr>
          <w:rFonts w:ascii="Times New Roman" w:hAnsi="Times New Roman"/>
          <w:sz w:val="24"/>
        </w:rPr>
        <w:lastRenderedPageBreak/>
        <w:t xml:space="preserve">approved waiver application.)  Those figures are being revised to reflect the additional 40 slots.  Only the services which would be applicable to the DCFS population were revised, and each estimate was revised in accordance with the appropriate proportional increase. For example, no DCFS foster child will receive supported employment services, or require transitional case management, so those numbers were </w:t>
      </w:r>
      <w:r w:rsidRPr="004C7DE6">
        <w:rPr>
          <w:rFonts w:ascii="Times New Roman" w:hAnsi="Times New Roman"/>
          <w:sz w:val="24"/>
          <w:u w:val="single"/>
        </w:rPr>
        <w:t xml:space="preserve">not </w:t>
      </w:r>
      <w:r w:rsidRPr="004C7DE6">
        <w:rPr>
          <w:rFonts w:ascii="Times New Roman" w:hAnsi="Times New Roman"/>
          <w:sz w:val="24"/>
        </w:rPr>
        <w:t>revised.  ALL 40 participants would receive supportive living services and case management, but the other waiver services are not always needed, thus were increased proportionate to the usage reflected in previously derived estimates.  Each increase in the number of users required a re-calculation of the estimated component cost, and applicable total costs.  For supportive living services, the average cost/unit also required re-calculation, as all 40 of the additional reserved capacity slots were requested at the “pervasive level” of care, which has a maximum daily rate of $391.95, as approved in the waiver.  </w:t>
      </w:r>
    </w:p>
    <w:p w:rsidR="004C7DE6" w:rsidRPr="004C7DE6" w:rsidRDefault="004C7DE6" w:rsidP="004C7DE6">
      <w:pPr>
        <w:ind w:left="720"/>
        <w:rPr>
          <w:rFonts w:ascii="Times New Roman" w:hAnsi="Times New Roman"/>
          <w:sz w:val="24"/>
        </w:rPr>
      </w:pPr>
    </w:p>
    <w:p w:rsidR="004C7DE6" w:rsidRDefault="004C7DE6" w:rsidP="004C7DE6">
      <w:pPr>
        <w:ind w:left="720"/>
        <w:rPr>
          <w:rFonts w:ascii="Times New Roman" w:hAnsi="Times New Roman"/>
          <w:sz w:val="24"/>
        </w:rPr>
      </w:pPr>
      <w:r w:rsidRPr="004C7DE6">
        <w:rPr>
          <w:rFonts w:ascii="Times New Roman" w:hAnsi="Times New Roman"/>
          <w:sz w:val="24"/>
        </w:rPr>
        <w:t>All the revised estimates in the table are used to derive the Factor D for waiver year 5, which you found reflected in the Composite Overview table back in J-1, used to demonstrate cost neutrality of the waiver application.</w:t>
      </w:r>
    </w:p>
    <w:p w:rsidR="00E36825" w:rsidRDefault="00E36825" w:rsidP="004C7DE6">
      <w:pPr>
        <w:ind w:left="720"/>
        <w:rPr>
          <w:rFonts w:ascii="Times New Roman" w:hAnsi="Times New Roman"/>
          <w:sz w:val="24"/>
        </w:rPr>
      </w:pPr>
    </w:p>
    <w:p w:rsidR="007B39E8" w:rsidRDefault="005601EE" w:rsidP="00FA12E9">
      <w:pPr>
        <w:ind w:left="720"/>
        <w:rPr>
          <w:rFonts w:ascii="Times New Roman" w:hAnsi="Times New Roman"/>
          <w:sz w:val="24"/>
        </w:rPr>
      </w:pPr>
      <w:r>
        <w:rPr>
          <w:rFonts w:ascii="Times New Roman" w:hAnsi="Times New Roman"/>
          <w:sz w:val="24"/>
        </w:rPr>
        <w:t>The proposed effective date for the final rule is July 1, 2013.</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F60460">
        <w:rPr>
          <w:rFonts w:ascii="Times New Roman" w:hAnsi="Times New Roman"/>
          <w:sz w:val="24"/>
        </w:rPr>
        <w:t>This is not expected to be controversial.</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F60460">
        <w:rPr>
          <w:rFonts w:ascii="Times New Roman" w:hAnsi="Times New Roman"/>
          <w:sz w:val="24"/>
        </w:rPr>
        <w:t>The purpose of the rule is to implement a federal rule.  The incremental cost for implementing the rule is as follows:  For the 2014 fiscal year, a total of $2,668,888 ($797,463 state and $1,871,425 federal); and for the 2015 fiscal year, a total of $2,755,099 ($833,969 state and $1,921,130 federal).  The general revenue (state share) will be provided to the Division of Medial Services by the Division of Children and Family Services through a MOU (agreement).</w:t>
      </w:r>
    </w:p>
    <w:p w:rsidR="0054191D" w:rsidRDefault="0054191D">
      <w:pPr>
        <w:ind w:left="720"/>
        <w:rPr>
          <w:rFonts w:ascii="Times New Roman" w:hAnsi="Times New Roman"/>
          <w:sz w:val="24"/>
        </w:rPr>
      </w:pPr>
    </w:p>
    <w:p w:rsidR="00603A02" w:rsidRDefault="0054191D" w:rsidP="00603A02">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603A02" w:rsidRPr="00603A02">
        <w:rPr>
          <w:rFonts w:ascii="Times New Roman" w:hAnsi="Times New Roman"/>
          <w:sz w:val="24"/>
        </w:rPr>
        <w:t>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w:t>
      </w:r>
    </w:p>
    <w:p w:rsidR="00D76889" w:rsidRDefault="00D76889" w:rsidP="00603A02">
      <w:pPr>
        <w:ind w:left="720"/>
        <w:rPr>
          <w:rFonts w:ascii="Times New Roman" w:hAnsi="Times New Roman"/>
          <w:sz w:val="24"/>
        </w:rPr>
      </w:pPr>
    </w:p>
    <w:p w:rsidR="00D76889" w:rsidRPr="00603A02" w:rsidRDefault="00D76889" w:rsidP="00603A02">
      <w:pPr>
        <w:ind w:left="720"/>
        <w:rPr>
          <w:rFonts w:ascii="Times New Roman" w:hAnsi="Times New Roman"/>
          <w:sz w:val="24"/>
        </w:rPr>
      </w:pPr>
      <w:r>
        <w:rPr>
          <w:rFonts w:ascii="Times New Roman" w:hAnsi="Times New Roman"/>
          <w:sz w:val="24"/>
        </w:rPr>
        <w:t>Ark. Code Ann. § 25-10-129 authorizes the Department of Human Services to promulgate rules “</w:t>
      </w:r>
      <w:r w:rsidRPr="00D76889">
        <w:rPr>
          <w:rFonts w:ascii="Times New Roman" w:hAnsi="Times New Roman"/>
          <w:sz w:val="24"/>
        </w:rPr>
        <w:t xml:space="preserve">as necessary to conform to federal statutes, rules, and </w:t>
      </w:r>
      <w:r>
        <w:rPr>
          <w:rFonts w:ascii="Times New Roman" w:hAnsi="Times New Roman"/>
          <w:sz w:val="24"/>
        </w:rPr>
        <w:t>regulations . . . [that] . . .</w:t>
      </w:r>
      <w:r w:rsidRPr="00D76889">
        <w:rPr>
          <w:rFonts w:ascii="Times New Roman" w:hAnsi="Times New Roman"/>
          <w:sz w:val="24"/>
        </w:rPr>
        <w:t xml:space="preserve"> affect programs administered or funded by or through the depa</w:t>
      </w:r>
      <w:r>
        <w:rPr>
          <w:rFonts w:ascii="Times New Roman" w:hAnsi="Times New Roman"/>
          <w:sz w:val="24"/>
        </w:rPr>
        <w:t>rtment . . .</w:t>
      </w:r>
      <w:r w:rsidRPr="00D76889">
        <w:rPr>
          <w:rFonts w:ascii="Times New Roman" w:hAnsi="Times New Roman"/>
          <w:sz w:val="24"/>
        </w:rPr>
        <w:t xml:space="preserve"> as necessa</w:t>
      </w:r>
      <w:r>
        <w:rPr>
          <w:rFonts w:ascii="Times New Roman" w:hAnsi="Times New Roman"/>
          <w:sz w:val="24"/>
        </w:rPr>
        <w:t>ry to receive any federal funds . . .</w:t>
      </w:r>
      <w:r w:rsidRPr="00D76889">
        <w:rPr>
          <w:rFonts w:ascii="Times New Roman" w:hAnsi="Times New Roman"/>
          <w:sz w:val="24"/>
        </w:rPr>
        <w:t xml:space="preserve"> available to the dep</w:t>
      </w:r>
      <w:r>
        <w:rPr>
          <w:rFonts w:ascii="Times New Roman" w:hAnsi="Times New Roman"/>
          <w:sz w:val="24"/>
        </w:rPr>
        <w:t>artment”</w:t>
      </w:r>
      <w:r w:rsidRPr="00D76889">
        <w:rPr>
          <w:rFonts w:ascii="Times New Roman" w:hAnsi="Times New Roman"/>
          <w:sz w:val="24"/>
        </w:rPr>
        <w:t>.</w:t>
      </w:r>
    </w:p>
    <w:p w:rsidR="00603A02" w:rsidRPr="00603A02" w:rsidRDefault="00603A02" w:rsidP="00603A02">
      <w:pPr>
        <w:ind w:firstLine="720"/>
        <w:rPr>
          <w:rFonts w:ascii="Times New Roman" w:hAnsi="Times New Roman"/>
          <w:sz w:val="24"/>
        </w:rPr>
      </w:pPr>
    </w:p>
    <w:p w:rsidR="00603A02" w:rsidRPr="00603A02" w:rsidRDefault="00603A02" w:rsidP="00603A02">
      <w:pPr>
        <w:ind w:left="720"/>
        <w:rPr>
          <w:rFonts w:ascii="Times New Roman" w:hAnsi="Times New Roman"/>
          <w:sz w:val="24"/>
        </w:rPr>
      </w:pPr>
      <w:r w:rsidRPr="00603A02">
        <w:rPr>
          <w:rFonts w:ascii="Times New Roman" w:hAnsi="Times New Roman"/>
          <w:sz w:val="24"/>
        </w:rPr>
        <w:t xml:space="preserve">Acts 2011, No. 1070, § 17, in a “Special Language” and “Not to be Incorporated into the Arkansas Code” act section, directs the Department of Human Services to promulgate rules “regarding the licensure and oversight of Applied Behavior Analysts as described in Arkansas Code § 23-99-418”.  </w:t>
      </w:r>
    </w:p>
    <w:p w:rsidR="0054191D" w:rsidRDefault="0054191D">
      <w:pPr>
        <w:ind w:firstLine="720"/>
        <w:rPr>
          <w:rFonts w:ascii="Times New Roman" w:hAnsi="Times New Roman"/>
          <w:sz w:val="24"/>
        </w:rPr>
      </w:pPr>
    </w:p>
    <w:sectPr w:rsidR="0054191D">
      <w:endnotePr>
        <w:numFmt w:val="decimal"/>
      </w:endnotePr>
      <w:pgSz w:w="12240" w:h="15840"/>
      <w:pgMar w:top="1152" w:right="1440" w:bottom="1152"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E2A" w:rsidRDefault="00BB1E2A">
      <w:pPr>
        <w:spacing w:line="20" w:lineRule="exact"/>
        <w:rPr>
          <w:sz w:val="24"/>
        </w:rPr>
      </w:pPr>
    </w:p>
  </w:endnote>
  <w:endnote w:type="continuationSeparator" w:id="0">
    <w:p w:rsidR="00BB1E2A" w:rsidRDefault="00BB1E2A">
      <w:r>
        <w:rPr>
          <w:sz w:val="24"/>
        </w:rPr>
        <w:t xml:space="preserve"> </w:t>
      </w:r>
    </w:p>
  </w:endnote>
  <w:endnote w:type="continuationNotice" w:id="1">
    <w:p w:rsidR="00BB1E2A" w:rsidRDefault="00BB1E2A">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E2A" w:rsidRDefault="00BB1E2A">
      <w:r>
        <w:rPr>
          <w:sz w:val="24"/>
        </w:rPr>
        <w:separator/>
      </w:r>
    </w:p>
  </w:footnote>
  <w:footnote w:type="continuationSeparator" w:id="0">
    <w:p w:rsidR="00BB1E2A" w:rsidRDefault="00BB1E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521F1"/>
    <w:rsid w:val="00090544"/>
    <w:rsid w:val="000B4083"/>
    <w:rsid w:val="000C0D7C"/>
    <w:rsid w:val="00105283"/>
    <w:rsid w:val="0017215B"/>
    <w:rsid w:val="00186FEA"/>
    <w:rsid w:val="00194461"/>
    <w:rsid w:val="001C0DE4"/>
    <w:rsid w:val="001C1ED9"/>
    <w:rsid w:val="001E5D1E"/>
    <w:rsid w:val="001E69CE"/>
    <w:rsid w:val="001F4FC1"/>
    <w:rsid w:val="002275B2"/>
    <w:rsid w:val="00232349"/>
    <w:rsid w:val="002451B8"/>
    <w:rsid w:val="00280F5F"/>
    <w:rsid w:val="0029069F"/>
    <w:rsid w:val="002B35D3"/>
    <w:rsid w:val="002E4750"/>
    <w:rsid w:val="003175CB"/>
    <w:rsid w:val="004261CB"/>
    <w:rsid w:val="0044490C"/>
    <w:rsid w:val="00460750"/>
    <w:rsid w:val="0046249F"/>
    <w:rsid w:val="004A2B15"/>
    <w:rsid w:val="004C06E8"/>
    <w:rsid w:val="004C7DE6"/>
    <w:rsid w:val="004F7718"/>
    <w:rsid w:val="0054191D"/>
    <w:rsid w:val="005601EE"/>
    <w:rsid w:val="00560B2F"/>
    <w:rsid w:val="00596D8D"/>
    <w:rsid w:val="00603A02"/>
    <w:rsid w:val="00671317"/>
    <w:rsid w:val="0067340D"/>
    <w:rsid w:val="006B2EA0"/>
    <w:rsid w:val="006C3016"/>
    <w:rsid w:val="006F3B6A"/>
    <w:rsid w:val="00727421"/>
    <w:rsid w:val="007522A8"/>
    <w:rsid w:val="00774738"/>
    <w:rsid w:val="00776C2D"/>
    <w:rsid w:val="007B39E8"/>
    <w:rsid w:val="007C111A"/>
    <w:rsid w:val="00804F09"/>
    <w:rsid w:val="0082062E"/>
    <w:rsid w:val="008215C7"/>
    <w:rsid w:val="00823DA4"/>
    <w:rsid w:val="0088110C"/>
    <w:rsid w:val="008963BC"/>
    <w:rsid w:val="008A314E"/>
    <w:rsid w:val="00917983"/>
    <w:rsid w:val="00925307"/>
    <w:rsid w:val="00956F7F"/>
    <w:rsid w:val="00971A42"/>
    <w:rsid w:val="0098331F"/>
    <w:rsid w:val="009B181E"/>
    <w:rsid w:val="009D1E31"/>
    <w:rsid w:val="009F3043"/>
    <w:rsid w:val="009F66C1"/>
    <w:rsid w:val="00A3005B"/>
    <w:rsid w:val="00A52A26"/>
    <w:rsid w:val="00A666DF"/>
    <w:rsid w:val="00A72EEC"/>
    <w:rsid w:val="00A8721A"/>
    <w:rsid w:val="00AC744E"/>
    <w:rsid w:val="00AD4DC7"/>
    <w:rsid w:val="00AD51B0"/>
    <w:rsid w:val="00B0774D"/>
    <w:rsid w:val="00B1601C"/>
    <w:rsid w:val="00B21260"/>
    <w:rsid w:val="00B424AC"/>
    <w:rsid w:val="00B80054"/>
    <w:rsid w:val="00BA767C"/>
    <w:rsid w:val="00BB1E2A"/>
    <w:rsid w:val="00BC272B"/>
    <w:rsid w:val="00C25C2C"/>
    <w:rsid w:val="00C438F2"/>
    <w:rsid w:val="00C924E4"/>
    <w:rsid w:val="00C965EC"/>
    <w:rsid w:val="00CA0746"/>
    <w:rsid w:val="00CA52D4"/>
    <w:rsid w:val="00CE27B4"/>
    <w:rsid w:val="00D76889"/>
    <w:rsid w:val="00D874B6"/>
    <w:rsid w:val="00DE0D68"/>
    <w:rsid w:val="00E06322"/>
    <w:rsid w:val="00E1156F"/>
    <w:rsid w:val="00E36825"/>
    <w:rsid w:val="00E636BD"/>
    <w:rsid w:val="00E65A3D"/>
    <w:rsid w:val="00E66469"/>
    <w:rsid w:val="00F55725"/>
    <w:rsid w:val="00F60460"/>
    <w:rsid w:val="00F825B0"/>
    <w:rsid w:val="00F936FA"/>
    <w:rsid w:val="00FA12E9"/>
    <w:rsid w:val="00FB00B7"/>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rPr>
      <w:rFonts w:ascii="Times New Roman" w:hAnsi="Times New Roman"/>
      <w:sz w:val="24"/>
    </w:rPr>
  </w:style>
  <w:style w:type="paragraph" w:styleId="BodyTextIndent">
    <w:name w:val="Body Text Indent"/>
    <w:basedOn w:val="Normal"/>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09153">
      <w:bodyDiv w:val="1"/>
      <w:marLeft w:val="0"/>
      <w:marRight w:val="0"/>
      <w:marTop w:val="0"/>
      <w:marBottom w:val="0"/>
      <w:divBdr>
        <w:top w:val="none" w:sz="0" w:space="0" w:color="auto"/>
        <w:left w:val="none" w:sz="0" w:space="0" w:color="auto"/>
        <w:bottom w:val="none" w:sz="0" w:space="0" w:color="auto"/>
        <w:right w:val="none" w:sz="0" w:space="0" w:color="auto"/>
      </w:divBdr>
    </w:div>
    <w:div w:id="172258432">
      <w:bodyDiv w:val="1"/>
      <w:marLeft w:val="0"/>
      <w:marRight w:val="0"/>
      <w:marTop w:val="0"/>
      <w:marBottom w:val="0"/>
      <w:divBdr>
        <w:top w:val="none" w:sz="0" w:space="0" w:color="auto"/>
        <w:left w:val="none" w:sz="0" w:space="0" w:color="auto"/>
        <w:bottom w:val="none" w:sz="0" w:space="0" w:color="auto"/>
        <w:right w:val="none" w:sz="0" w:space="0" w:color="auto"/>
      </w:divBdr>
    </w:div>
    <w:div w:id="267472829">
      <w:bodyDiv w:val="1"/>
      <w:marLeft w:val="0"/>
      <w:marRight w:val="0"/>
      <w:marTop w:val="0"/>
      <w:marBottom w:val="0"/>
      <w:divBdr>
        <w:top w:val="none" w:sz="0" w:space="0" w:color="auto"/>
        <w:left w:val="none" w:sz="0" w:space="0" w:color="auto"/>
        <w:bottom w:val="none" w:sz="0" w:space="0" w:color="auto"/>
        <w:right w:val="none" w:sz="0" w:space="0" w:color="auto"/>
      </w:divBdr>
    </w:div>
    <w:div w:id="741876759">
      <w:bodyDiv w:val="1"/>
      <w:marLeft w:val="0"/>
      <w:marRight w:val="0"/>
      <w:marTop w:val="0"/>
      <w:marBottom w:val="0"/>
      <w:divBdr>
        <w:top w:val="none" w:sz="0" w:space="0" w:color="auto"/>
        <w:left w:val="none" w:sz="0" w:space="0" w:color="auto"/>
        <w:bottom w:val="none" w:sz="0" w:space="0" w:color="auto"/>
        <w:right w:val="none" w:sz="0" w:space="0" w:color="auto"/>
      </w:divBdr>
    </w:div>
    <w:div w:id="903415121">
      <w:bodyDiv w:val="1"/>
      <w:marLeft w:val="0"/>
      <w:marRight w:val="0"/>
      <w:marTop w:val="0"/>
      <w:marBottom w:val="0"/>
      <w:divBdr>
        <w:top w:val="none" w:sz="0" w:space="0" w:color="auto"/>
        <w:left w:val="none" w:sz="0" w:space="0" w:color="auto"/>
        <w:bottom w:val="none" w:sz="0" w:space="0" w:color="auto"/>
        <w:right w:val="none" w:sz="0" w:space="0" w:color="auto"/>
      </w:divBdr>
    </w:div>
    <w:div w:id="1192694020">
      <w:bodyDiv w:val="1"/>
      <w:marLeft w:val="0"/>
      <w:marRight w:val="0"/>
      <w:marTop w:val="0"/>
      <w:marBottom w:val="0"/>
      <w:divBdr>
        <w:top w:val="none" w:sz="0" w:space="0" w:color="auto"/>
        <w:left w:val="none" w:sz="0" w:space="0" w:color="auto"/>
        <w:bottom w:val="none" w:sz="0" w:space="0" w:color="auto"/>
        <w:right w:val="none" w:sz="0" w:space="0" w:color="auto"/>
      </w:divBdr>
    </w:div>
    <w:div w:id="1366561074">
      <w:bodyDiv w:val="1"/>
      <w:marLeft w:val="0"/>
      <w:marRight w:val="0"/>
      <w:marTop w:val="0"/>
      <w:marBottom w:val="0"/>
      <w:divBdr>
        <w:top w:val="none" w:sz="0" w:space="0" w:color="auto"/>
        <w:left w:val="none" w:sz="0" w:space="0" w:color="auto"/>
        <w:bottom w:val="none" w:sz="0" w:space="0" w:color="auto"/>
        <w:right w:val="none" w:sz="0" w:space="0" w:color="auto"/>
      </w:divBdr>
    </w:div>
    <w:div w:id="1617255443">
      <w:bodyDiv w:val="1"/>
      <w:marLeft w:val="0"/>
      <w:marRight w:val="0"/>
      <w:marTop w:val="0"/>
      <w:marBottom w:val="0"/>
      <w:divBdr>
        <w:top w:val="none" w:sz="0" w:space="0" w:color="auto"/>
        <w:left w:val="none" w:sz="0" w:space="0" w:color="auto"/>
        <w:bottom w:val="none" w:sz="0" w:space="0" w:color="auto"/>
        <w:right w:val="none" w:sz="0" w:space="0" w:color="auto"/>
      </w:divBdr>
    </w:div>
    <w:div w:id="1695691044">
      <w:bodyDiv w:val="1"/>
      <w:marLeft w:val="0"/>
      <w:marRight w:val="0"/>
      <w:marTop w:val="0"/>
      <w:marBottom w:val="0"/>
      <w:divBdr>
        <w:top w:val="none" w:sz="0" w:space="0" w:color="auto"/>
        <w:left w:val="none" w:sz="0" w:space="0" w:color="auto"/>
        <w:bottom w:val="none" w:sz="0" w:space="0" w:color="auto"/>
        <w:right w:val="none" w:sz="0" w:space="0" w:color="auto"/>
      </w:divBdr>
    </w:div>
    <w:div w:id="213598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7AC32E72-6FE5-4549-BCF7-20E516489330}"/>
</file>

<file path=customXml/itemProps2.xml><?xml version="1.0" encoding="utf-8"?>
<ds:datastoreItem xmlns:ds="http://schemas.openxmlformats.org/officeDocument/2006/customXml" ds:itemID="{57168127-B4FD-4526-8730-19576DAE6388}"/>
</file>

<file path=customXml/itemProps3.xml><?xml version="1.0" encoding="utf-8"?>
<ds:datastoreItem xmlns:ds="http://schemas.openxmlformats.org/officeDocument/2006/customXml" ds:itemID="{9E54CA19-8E5B-4F02-BB93-9D1CC536274B}"/>
</file>

<file path=docProps/app.xml><?xml version="1.0" encoding="utf-8"?>
<Properties xmlns="http://schemas.openxmlformats.org/officeDocument/2006/extended-properties" xmlns:vt="http://schemas.openxmlformats.org/officeDocument/2006/docPropsVTypes">
  <Template>Normal.dotm</Template>
  <TotalTime>3</TotalTime>
  <Pages>4</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creator>Denise Tarter</dc:creator>
  <cp:lastModifiedBy> Juanita E. Witham</cp:lastModifiedBy>
  <cp:revision>2</cp:revision>
  <cp:lastPrinted>2011-01-25T17:59:00Z</cp:lastPrinted>
  <dcterms:created xsi:type="dcterms:W3CDTF">2013-07-24T19:38:00Z</dcterms:created>
  <dcterms:modified xsi:type="dcterms:W3CDTF">2013-07-24T19:38:00Z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