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B92" w:rsidRDefault="00CA2541" w:rsidP="006778AC">
      <w:pPr>
        <w:spacing w:after="120" w:line="240" w:lineRule="auto"/>
      </w:pPr>
      <w:r w:rsidRPr="00CA2541">
        <w:rPr>
          <w:noProof/>
        </w:rPr>
        <w:drawing>
          <wp:inline distT="0" distB="0" distL="0" distR="0">
            <wp:extent cx="2438400" cy="1162050"/>
            <wp:effectExtent l="19050" t="0" r="0" b="0"/>
            <wp:docPr id="7" name="Picture 3" descr="\\Pavo\kdb files\Kdb\Getting Past Go\GPG-logo-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vo\kdb files\Kdb\Getting Past Go\GPG-logo-new.jpg"/>
                    <pic:cNvPicPr>
                      <a:picLocks noChangeAspect="1" noChangeArrowheads="1"/>
                    </pic:cNvPicPr>
                  </pic:nvPicPr>
                  <pic:blipFill>
                    <a:blip r:embed="rId8" cstate="print"/>
                    <a:srcRect/>
                    <a:stretch>
                      <a:fillRect/>
                    </a:stretch>
                  </pic:blipFill>
                  <pic:spPr bwMode="auto">
                    <a:xfrm>
                      <a:off x="0" y="0"/>
                      <a:ext cx="2438400" cy="1162050"/>
                    </a:xfrm>
                    <a:prstGeom prst="rect">
                      <a:avLst/>
                    </a:prstGeom>
                    <a:noFill/>
                    <a:ln w="9525">
                      <a:noFill/>
                      <a:miter lim="800000"/>
                      <a:headEnd/>
                      <a:tailEnd/>
                    </a:ln>
                  </pic:spPr>
                </pic:pic>
              </a:graphicData>
            </a:graphic>
          </wp:inline>
        </w:drawing>
      </w:r>
      <w:r>
        <w:tab/>
      </w:r>
      <w:r w:rsidR="007D3A0F">
        <w:tab/>
      </w:r>
      <w:r w:rsidR="007D3A0F">
        <w:tab/>
      </w:r>
      <w:r w:rsidR="007D3A0F">
        <w:tab/>
      </w:r>
      <w:r w:rsidR="007D3A0F" w:rsidRPr="007D3A0F">
        <w:rPr>
          <w:noProof/>
        </w:rPr>
        <w:drawing>
          <wp:inline distT="0" distB="0" distL="0" distR="0">
            <wp:extent cx="1219605" cy="1368936"/>
            <wp:effectExtent l="19050" t="0" r="0" b="0"/>
            <wp:docPr id="1" name="Picture 2" descr="\\Pavo\kdb files\Kdb\GRAPHICS\LOGOS\ECS logos NEW\ecslogo-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vo\kdb files\Kdb\GRAPHICS\LOGOS\ECS logos NEW\ecslogo-2009.jpg"/>
                    <pic:cNvPicPr>
                      <a:picLocks noChangeAspect="1" noChangeArrowheads="1"/>
                    </pic:cNvPicPr>
                  </pic:nvPicPr>
                  <pic:blipFill>
                    <a:blip r:embed="rId9" cstate="print"/>
                    <a:srcRect/>
                    <a:stretch>
                      <a:fillRect/>
                    </a:stretch>
                  </pic:blipFill>
                  <pic:spPr bwMode="auto">
                    <a:xfrm>
                      <a:off x="0" y="0"/>
                      <a:ext cx="1221978" cy="1371600"/>
                    </a:xfrm>
                    <a:prstGeom prst="rect">
                      <a:avLst/>
                    </a:prstGeom>
                    <a:noFill/>
                    <a:ln w="9525">
                      <a:noFill/>
                      <a:miter lim="800000"/>
                      <a:headEnd/>
                      <a:tailEnd/>
                    </a:ln>
                  </pic:spPr>
                </pic:pic>
              </a:graphicData>
            </a:graphic>
          </wp:inline>
        </w:drawing>
      </w:r>
    </w:p>
    <w:p w:rsidR="007D3A0F" w:rsidRDefault="007D3A0F" w:rsidP="006778AC">
      <w:pPr>
        <w:spacing w:after="120" w:line="240" w:lineRule="auto"/>
      </w:pPr>
    </w:p>
    <w:p w:rsidR="00CA2541" w:rsidRPr="00711502" w:rsidRDefault="00F4596E" w:rsidP="006778AC">
      <w:pPr>
        <w:spacing w:after="120" w:line="240" w:lineRule="auto"/>
        <w:jc w:val="center"/>
        <w:rPr>
          <w:i/>
          <w:sz w:val="24"/>
          <w:szCs w:val="24"/>
        </w:rPr>
      </w:pPr>
      <w:r w:rsidRPr="00711502">
        <w:rPr>
          <w:i/>
          <w:sz w:val="24"/>
          <w:szCs w:val="24"/>
        </w:rPr>
        <w:t>Using Policy to Improve Developmental Education and Increase Col</w:t>
      </w:r>
      <w:r w:rsidR="00237B92" w:rsidRPr="00711502">
        <w:rPr>
          <w:i/>
          <w:sz w:val="24"/>
          <w:szCs w:val="24"/>
        </w:rPr>
        <w:t>lege Success</w:t>
      </w:r>
    </w:p>
    <w:p w:rsidR="00CA2541" w:rsidRDefault="00CA2541" w:rsidP="006778AC">
      <w:pPr>
        <w:spacing w:after="120" w:line="240" w:lineRule="auto"/>
      </w:pPr>
    </w:p>
    <w:p w:rsidR="00CA2541" w:rsidRDefault="004B0CAA" w:rsidP="006778AC">
      <w:pPr>
        <w:spacing w:after="120" w:line="240" w:lineRule="auto"/>
        <w:jc w:val="center"/>
        <w:rPr>
          <w:b/>
          <w:sz w:val="52"/>
          <w:szCs w:val="52"/>
        </w:rPr>
      </w:pPr>
      <w:r>
        <w:rPr>
          <w:b/>
          <w:sz w:val="52"/>
          <w:szCs w:val="52"/>
        </w:rPr>
        <w:t>Arkansas</w:t>
      </w:r>
    </w:p>
    <w:p w:rsidR="00CA2541" w:rsidRPr="00A07502" w:rsidRDefault="00147326" w:rsidP="00A07502">
      <w:pPr>
        <w:spacing w:after="120" w:line="240" w:lineRule="auto"/>
        <w:jc w:val="center"/>
        <w:rPr>
          <w:b/>
          <w:sz w:val="52"/>
          <w:szCs w:val="52"/>
        </w:rPr>
      </w:pPr>
      <w:r>
        <w:rPr>
          <w:b/>
          <w:sz w:val="52"/>
          <w:szCs w:val="52"/>
        </w:rPr>
        <w:t>Remedial Education Policy Profile</w:t>
      </w:r>
    </w:p>
    <w:p w:rsidR="006778AC" w:rsidRPr="006778AC" w:rsidRDefault="00C73539" w:rsidP="006778AC">
      <w:pPr>
        <w:spacing w:after="120" w:line="240" w:lineRule="auto"/>
      </w:pPr>
      <w:r>
        <w:t>This is a profile of your state’s policies for students who require remedial education. To view an online version of your state’s summary, visit</w:t>
      </w:r>
      <w:r w:rsidR="00453CE4">
        <w:t xml:space="preserve"> </w:t>
      </w:r>
      <w:hyperlink r:id="rId10" w:history="1">
        <w:r w:rsidR="004B0CAA" w:rsidRPr="00150CEB">
          <w:rPr>
            <w:rStyle w:val="Hyperlink"/>
          </w:rPr>
          <w:t>http://gettingpastgo.org/arkansas</w:t>
        </w:r>
      </w:hyperlink>
      <w:r>
        <w:t>.</w:t>
      </w:r>
      <w:r w:rsidR="00264E17">
        <w:t xml:space="preserve"> </w:t>
      </w:r>
      <w:r w:rsidR="009D6358">
        <w:t xml:space="preserve">We welcome your </w:t>
      </w:r>
      <w:r w:rsidR="00BB7098">
        <w:t>feedback</w:t>
      </w:r>
      <w:r w:rsidR="009D6358">
        <w:t>.</w:t>
      </w:r>
    </w:p>
    <w:p w:rsidR="004B0CAA" w:rsidRDefault="004B0CAA" w:rsidP="006778AC">
      <w:pPr>
        <w:spacing w:after="120" w:line="240" w:lineRule="auto"/>
        <w:rPr>
          <w:b/>
          <w:sz w:val="28"/>
          <w:szCs w:val="28"/>
        </w:rPr>
      </w:pPr>
      <w:r>
        <w:rPr>
          <w:b/>
          <w:sz w:val="28"/>
          <w:szCs w:val="28"/>
        </w:rPr>
        <w:t xml:space="preserve">State </w:t>
      </w:r>
      <w:r w:rsidR="00237B92" w:rsidRPr="00237B92">
        <w:rPr>
          <w:b/>
          <w:sz w:val="28"/>
          <w:szCs w:val="28"/>
        </w:rPr>
        <w:t>Overview</w:t>
      </w:r>
    </w:p>
    <w:p w:rsidR="004B0CAA" w:rsidRPr="004B0CAA" w:rsidRDefault="004B0CAA" w:rsidP="006778AC">
      <w:pPr>
        <w:spacing w:after="120" w:line="240" w:lineRule="auto"/>
        <w:rPr>
          <w:b/>
          <w:sz w:val="28"/>
          <w:szCs w:val="28"/>
        </w:rPr>
      </w:pPr>
      <w:r w:rsidRPr="004B0CAA">
        <w:rPr>
          <w:b/>
        </w:rPr>
        <w:t>Key statistics</w:t>
      </w:r>
    </w:p>
    <w:tbl>
      <w:tblPr>
        <w:tblStyle w:val="TableGrid"/>
        <w:tblW w:w="0" w:type="auto"/>
        <w:tblLook w:val="04A0"/>
      </w:tblPr>
      <w:tblGrid>
        <w:gridCol w:w="2117"/>
        <w:gridCol w:w="2117"/>
        <w:gridCol w:w="2160"/>
        <w:gridCol w:w="1724"/>
        <w:gridCol w:w="2034"/>
      </w:tblGrid>
      <w:tr w:rsidR="004B0CAA" w:rsidTr="00C73539">
        <w:tc>
          <w:tcPr>
            <w:tcW w:w="2117" w:type="dxa"/>
          </w:tcPr>
          <w:p w:rsidR="004B0CAA" w:rsidRDefault="004B0CAA" w:rsidP="006778AC">
            <w:pPr>
              <w:pStyle w:val="Heading2"/>
              <w:spacing w:before="0" w:beforeAutospacing="0" w:after="120" w:afterAutospacing="0"/>
              <w:outlineLvl w:val="1"/>
              <w:rPr>
                <w:rFonts w:asciiTheme="minorHAnsi" w:hAnsiTheme="minorHAnsi"/>
                <w:sz w:val="22"/>
                <w:szCs w:val="22"/>
              </w:rPr>
            </w:pPr>
            <w:r>
              <w:rPr>
                <w:rFonts w:asciiTheme="minorHAnsi" w:hAnsiTheme="minorHAnsi"/>
                <w:sz w:val="22"/>
                <w:szCs w:val="22"/>
              </w:rPr>
              <w:t>Statewide Remediation Rate</w:t>
            </w:r>
          </w:p>
        </w:tc>
        <w:tc>
          <w:tcPr>
            <w:tcW w:w="2117" w:type="dxa"/>
          </w:tcPr>
          <w:p w:rsidR="004B0CAA" w:rsidRDefault="004B0CAA" w:rsidP="006778AC">
            <w:pPr>
              <w:pStyle w:val="Heading2"/>
              <w:spacing w:before="0" w:beforeAutospacing="0" w:after="120" w:afterAutospacing="0"/>
              <w:outlineLvl w:val="1"/>
              <w:rPr>
                <w:rFonts w:asciiTheme="minorHAnsi" w:hAnsiTheme="minorHAnsi"/>
                <w:sz w:val="22"/>
                <w:szCs w:val="22"/>
              </w:rPr>
            </w:pPr>
            <w:r>
              <w:rPr>
                <w:rFonts w:asciiTheme="minorHAnsi" w:hAnsiTheme="minorHAnsi"/>
                <w:sz w:val="22"/>
                <w:szCs w:val="22"/>
              </w:rPr>
              <w:t>Remediation Rate, Community Colleges</w:t>
            </w:r>
          </w:p>
        </w:tc>
        <w:tc>
          <w:tcPr>
            <w:tcW w:w="2160" w:type="dxa"/>
          </w:tcPr>
          <w:p w:rsidR="004B0CAA" w:rsidRDefault="004B0CAA" w:rsidP="006778AC">
            <w:pPr>
              <w:pStyle w:val="Heading2"/>
              <w:spacing w:before="0" w:beforeAutospacing="0" w:after="120" w:afterAutospacing="0"/>
              <w:outlineLvl w:val="1"/>
              <w:rPr>
                <w:rFonts w:asciiTheme="minorHAnsi" w:hAnsiTheme="minorHAnsi"/>
                <w:sz w:val="22"/>
                <w:szCs w:val="22"/>
              </w:rPr>
            </w:pPr>
            <w:r>
              <w:rPr>
                <w:rFonts w:asciiTheme="minorHAnsi" w:hAnsiTheme="minorHAnsi"/>
                <w:sz w:val="22"/>
                <w:szCs w:val="22"/>
              </w:rPr>
              <w:t>Baccalaureate Graduation Rate</w:t>
            </w:r>
          </w:p>
        </w:tc>
        <w:tc>
          <w:tcPr>
            <w:tcW w:w="1724" w:type="dxa"/>
          </w:tcPr>
          <w:p w:rsidR="004B0CAA" w:rsidRDefault="004B0CAA" w:rsidP="006778AC">
            <w:pPr>
              <w:pStyle w:val="Heading2"/>
              <w:spacing w:before="0" w:beforeAutospacing="0" w:after="120" w:afterAutospacing="0"/>
              <w:outlineLvl w:val="1"/>
              <w:rPr>
                <w:rFonts w:asciiTheme="minorHAnsi" w:hAnsiTheme="minorHAnsi"/>
                <w:sz w:val="22"/>
                <w:szCs w:val="22"/>
              </w:rPr>
            </w:pPr>
            <w:r>
              <w:rPr>
                <w:rFonts w:asciiTheme="minorHAnsi" w:hAnsiTheme="minorHAnsi"/>
                <w:sz w:val="22"/>
                <w:szCs w:val="22"/>
              </w:rPr>
              <w:t>Associate Degree Graduation Rate</w:t>
            </w:r>
          </w:p>
        </w:tc>
        <w:tc>
          <w:tcPr>
            <w:tcW w:w="2034" w:type="dxa"/>
          </w:tcPr>
          <w:p w:rsidR="004B0CAA" w:rsidRDefault="00C73539" w:rsidP="00C73539">
            <w:pPr>
              <w:pStyle w:val="Heading2"/>
              <w:spacing w:before="0" w:beforeAutospacing="0" w:after="120" w:afterAutospacing="0"/>
              <w:outlineLvl w:val="1"/>
              <w:rPr>
                <w:rFonts w:asciiTheme="minorHAnsi" w:hAnsiTheme="minorHAnsi"/>
                <w:sz w:val="22"/>
                <w:szCs w:val="22"/>
              </w:rPr>
            </w:pPr>
            <w:r>
              <w:rPr>
                <w:rFonts w:asciiTheme="minorHAnsi" w:hAnsiTheme="minorHAnsi"/>
                <w:sz w:val="22"/>
                <w:szCs w:val="22"/>
              </w:rPr>
              <w:t xml:space="preserve">Percent of Adults </w:t>
            </w:r>
            <w:r w:rsidR="004B0CAA">
              <w:rPr>
                <w:rFonts w:asciiTheme="minorHAnsi" w:hAnsiTheme="minorHAnsi"/>
                <w:sz w:val="22"/>
                <w:szCs w:val="22"/>
              </w:rPr>
              <w:t>with an Associate degree or higher</w:t>
            </w:r>
          </w:p>
        </w:tc>
      </w:tr>
      <w:tr w:rsidR="004B0CAA" w:rsidTr="00C73539">
        <w:tc>
          <w:tcPr>
            <w:tcW w:w="2117" w:type="dxa"/>
          </w:tcPr>
          <w:p w:rsidR="004B0CAA" w:rsidRDefault="004B0CAA" w:rsidP="006778AC">
            <w:pPr>
              <w:pStyle w:val="Heading2"/>
              <w:spacing w:before="0" w:beforeAutospacing="0" w:after="120" w:afterAutospacing="0"/>
              <w:outlineLvl w:val="1"/>
              <w:rPr>
                <w:rFonts w:asciiTheme="minorHAnsi" w:hAnsiTheme="minorHAnsi"/>
                <w:sz w:val="22"/>
                <w:szCs w:val="22"/>
              </w:rPr>
            </w:pPr>
            <w:r>
              <w:rPr>
                <w:rFonts w:asciiTheme="minorHAnsi" w:hAnsiTheme="minorHAnsi"/>
                <w:sz w:val="22"/>
                <w:szCs w:val="22"/>
              </w:rPr>
              <w:t>51.30%</w:t>
            </w:r>
          </w:p>
        </w:tc>
        <w:tc>
          <w:tcPr>
            <w:tcW w:w="2117" w:type="dxa"/>
          </w:tcPr>
          <w:p w:rsidR="004B0CAA" w:rsidRDefault="004B0CAA" w:rsidP="006778AC">
            <w:pPr>
              <w:pStyle w:val="Heading2"/>
              <w:spacing w:before="0" w:beforeAutospacing="0" w:after="120" w:afterAutospacing="0"/>
              <w:outlineLvl w:val="1"/>
              <w:rPr>
                <w:rFonts w:asciiTheme="minorHAnsi" w:hAnsiTheme="minorHAnsi"/>
                <w:sz w:val="22"/>
                <w:szCs w:val="22"/>
              </w:rPr>
            </w:pPr>
            <w:r>
              <w:rPr>
                <w:rFonts w:asciiTheme="minorHAnsi" w:hAnsiTheme="minorHAnsi"/>
                <w:sz w:val="22"/>
                <w:szCs w:val="22"/>
              </w:rPr>
              <w:t>74.20%</w:t>
            </w:r>
          </w:p>
        </w:tc>
        <w:tc>
          <w:tcPr>
            <w:tcW w:w="2160" w:type="dxa"/>
          </w:tcPr>
          <w:p w:rsidR="004B0CAA" w:rsidRDefault="004B0CAA" w:rsidP="00674C04">
            <w:pPr>
              <w:pStyle w:val="Heading2"/>
              <w:spacing w:before="0" w:beforeAutospacing="0" w:after="120" w:afterAutospacing="0"/>
              <w:outlineLvl w:val="1"/>
              <w:rPr>
                <w:rFonts w:asciiTheme="minorHAnsi" w:hAnsiTheme="minorHAnsi"/>
                <w:sz w:val="22"/>
                <w:szCs w:val="22"/>
              </w:rPr>
            </w:pPr>
            <w:r>
              <w:rPr>
                <w:rFonts w:asciiTheme="minorHAnsi" w:hAnsiTheme="minorHAnsi"/>
                <w:sz w:val="22"/>
                <w:szCs w:val="22"/>
              </w:rPr>
              <w:t>41.</w:t>
            </w:r>
            <w:r w:rsidR="00674C04">
              <w:rPr>
                <w:rFonts w:asciiTheme="minorHAnsi" w:hAnsiTheme="minorHAnsi"/>
                <w:sz w:val="22"/>
                <w:szCs w:val="22"/>
              </w:rPr>
              <w:t>2</w:t>
            </w:r>
            <w:r>
              <w:rPr>
                <w:rFonts w:asciiTheme="minorHAnsi" w:hAnsiTheme="minorHAnsi"/>
                <w:sz w:val="22"/>
                <w:szCs w:val="22"/>
              </w:rPr>
              <w:t>0%</w:t>
            </w:r>
          </w:p>
        </w:tc>
        <w:tc>
          <w:tcPr>
            <w:tcW w:w="1724" w:type="dxa"/>
          </w:tcPr>
          <w:p w:rsidR="004B0CAA" w:rsidRDefault="004B0CAA" w:rsidP="00674C04">
            <w:pPr>
              <w:pStyle w:val="Heading2"/>
              <w:spacing w:before="0" w:beforeAutospacing="0" w:after="120" w:afterAutospacing="0"/>
              <w:outlineLvl w:val="1"/>
              <w:rPr>
                <w:rFonts w:asciiTheme="minorHAnsi" w:hAnsiTheme="minorHAnsi"/>
                <w:sz w:val="22"/>
                <w:szCs w:val="22"/>
              </w:rPr>
            </w:pPr>
            <w:r>
              <w:rPr>
                <w:rFonts w:asciiTheme="minorHAnsi" w:hAnsiTheme="minorHAnsi"/>
                <w:sz w:val="22"/>
                <w:szCs w:val="22"/>
              </w:rPr>
              <w:t>2</w:t>
            </w:r>
            <w:r w:rsidR="00674C04">
              <w:rPr>
                <w:rFonts w:asciiTheme="minorHAnsi" w:hAnsiTheme="minorHAnsi"/>
                <w:sz w:val="22"/>
                <w:szCs w:val="22"/>
              </w:rPr>
              <w:t>3</w:t>
            </w:r>
            <w:r>
              <w:rPr>
                <w:rFonts w:asciiTheme="minorHAnsi" w:hAnsiTheme="minorHAnsi"/>
                <w:sz w:val="22"/>
                <w:szCs w:val="22"/>
              </w:rPr>
              <w:t>.</w:t>
            </w:r>
            <w:r w:rsidR="00674C04">
              <w:rPr>
                <w:rFonts w:asciiTheme="minorHAnsi" w:hAnsiTheme="minorHAnsi"/>
                <w:sz w:val="22"/>
                <w:szCs w:val="22"/>
              </w:rPr>
              <w:t>5</w:t>
            </w:r>
            <w:r>
              <w:rPr>
                <w:rFonts w:asciiTheme="minorHAnsi" w:hAnsiTheme="minorHAnsi"/>
                <w:sz w:val="22"/>
                <w:szCs w:val="22"/>
              </w:rPr>
              <w:t>0%</w:t>
            </w:r>
          </w:p>
        </w:tc>
        <w:tc>
          <w:tcPr>
            <w:tcW w:w="2034" w:type="dxa"/>
          </w:tcPr>
          <w:p w:rsidR="004B0CAA" w:rsidRDefault="00674C04" w:rsidP="006778AC">
            <w:pPr>
              <w:pStyle w:val="Heading2"/>
              <w:spacing w:before="0" w:beforeAutospacing="0" w:after="120" w:afterAutospacing="0"/>
              <w:outlineLvl w:val="1"/>
              <w:rPr>
                <w:rFonts w:asciiTheme="minorHAnsi" w:hAnsiTheme="minorHAnsi"/>
                <w:sz w:val="22"/>
                <w:szCs w:val="22"/>
              </w:rPr>
            </w:pPr>
            <w:r>
              <w:rPr>
                <w:rFonts w:asciiTheme="minorHAnsi" w:hAnsiTheme="minorHAnsi"/>
                <w:sz w:val="22"/>
                <w:szCs w:val="22"/>
              </w:rPr>
              <w:t>27.00</w:t>
            </w:r>
            <w:r w:rsidR="004B0CAA">
              <w:rPr>
                <w:rFonts w:asciiTheme="minorHAnsi" w:hAnsiTheme="minorHAnsi"/>
                <w:sz w:val="22"/>
                <w:szCs w:val="22"/>
              </w:rPr>
              <w:t>%</w:t>
            </w:r>
          </w:p>
        </w:tc>
      </w:tr>
    </w:tbl>
    <w:p w:rsidR="004B0CAA" w:rsidRPr="004B0CAA" w:rsidRDefault="004B0CAA" w:rsidP="00C73539">
      <w:pPr>
        <w:pStyle w:val="NormalWeb"/>
        <w:spacing w:before="120" w:beforeAutospacing="0" w:after="120" w:afterAutospacing="0"/>
        <w:rPr>
          <w:rFonts w:asciiTheme="minorHAnsi" w:hAnsiTheme="minorHAnsi"/>
          <w:sz w:val="22"/>
          <w:szCs w:val="22"/>
        </w:rPr>
      </w:pPr>
      <w:r w:rsidRPr="004B0CAA">
        <w:rPr>
          <w:rFonts w:asciiTheme="minorHAnsi" w:hAnsiTheme="minorHAnsi"/>
          <w:sz w:val="22"/>
          <w:szCs w:val="22"/>
        </w:rPr>
        <w:t>Arkansas policymakers have reformed developmental education in the areas of instructional delivery and data reporting. The legislature has empowered the Department of Higher Education to explore alternative delivery models, in the hopes of improving remedial student success and decreasing the amount of students requiring remediation. In the area of data collection, Act 971 requires data tracking for students requiring remediation from high school graduation, through the developmental curriculum, and onto college-level instruction.</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Fonts w:asciiTheme="minorHAnsi" w:hAnsiTheme="minorHAnsi"/>
          <w:sz w:val="22"/>
          <w:szCs w:val="22"/>
        </w:rPr>
        <w:t>These two reform areas are reaching the implementation stage, at which time accountability structures may evaluate program success. The state’s focus on creating a more systemic plan for remedial and developmental education is an objective that will allow for a framework that recognizes the connections between placement, instruction, and accountability.</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Fonts w:asciiTheme="minorHAnsi" w:hAnsiTheme="minorHAnsi"/>
          <w:sz w:val="22"/>
          <w:szCs w:val="22"/>
        </w:rPr>
        <w:t xml:space="preserve">In 2011, the Arkansas legislature enacted a couple bills intended to better prepare students for postsecondary education and reduce the need for remediation.  </w:t>
      </w:r>
      <w:hyperlink r:id="rId11" w:tgtFrame="_self" w:history="1">
        <w:r w:rsidRPr="004B0CAA">
          <w:rPr>
            <w:rStyle w:val="Hyperlink"/>
            <w:rFonts w:asciiTheme="minorHAnsi" w:hAnsiTheme="minorHAnsi"/>
            <w:sz w:val="22"/>
            <w:szCs w:val="22"/>
          </w:rPr>
          <w:t>House Bill 1671</w:t>
        </w:r>
      </w:hyperlink>
      <w:r w:rsidRPr="004B0CAA">
        <w:rPr>
          <w:rFonts w:asciiTheme="minorHAnsi" w:hAnsiTheme="minorHAnsi"/>
          <w:sz w:val="22"/>
          <w:szCs w:val="22"/>
        </w:rPr>
        <w:t xml:space="preserve"> significantly strengthened and intensified the postsecondary preparation interventions that were previously geared toward 11th and 12th graders. The new programs target students in grades 8 through 11, based on college readiness assessments, and will be more comprehensive. Programs created under </w:t>
      </w:r>
      <w:hyperlink r:id="rId12" w:tgtFrame="_self" w:history="1">
        <w:r w:rsidRPr="004B0CAA">
          <w:rPr>
            <w:rStyle w:val="Hyperlink"/>
            <w:rFonts w:asciiTheme="minorHAnsi" w:hAnsiTheme="minorHAnsi"/>
            <w:sz w:val="22"/>
            <w:szCs w:val="22"/>
          </w:rPr>
          <w:t>H.B. 1620</w:t>
        </w:r>
      </w:hyperlink>
      <w:r w:rsidRPr="004B0CAA">
        <w:rPr>
          <w:rFonts w:asciiTheme="minorHAnsi" w:hAnsiTheme="minorHAnsi"/>
          <w:sz w:val="22"/>
          <w:szCs w:val="22"/>
        </w:rPr>
        <w:t xml:space="preserve"> will help career and technical high school students earn postsecondary credits, and avoid duplicate college classes and remediation.</w:t>
      </w:r>
    </w:p>
    <w:p w:rsidR="004B0CAA" w:rsidRDefault="004B0CAA" w:rsidP="006778AC">
      <w:pPr>
        <w:pStyle w:val="NormalWeb"/>
        <w:spacing w:before="0" w:beforeAutospacing="0" w:after="120" w:afterAutospacing="0"/>
        <w:rPr>
          <w:rFonts w:asciiTheme="minorHAnsi" w:hAnsiTheme="minorHAnsi"/>
          <w:sz w:val="22"/>
          <w:szCs w:val="22"/>
        </w:rPr>
      </w:pPr>
      <w:r w:rsidRPr="004B0CAA">
        <w:rPr>
          <w:rFonts w:asciiTheme="minorHAnsi" w:hAnsiTheme="minorHAnsi"/>
          <w:sz w:val="22"/>
          <w:szCs w:val="22"/>
        </w:rPr>
        <w:t xml:space="preserve">In addition, 2011 legislation will require the Department of Higher Education to publish more detailed and annual remedial education costs. Students who meet specified criteria will be able to simultaneously enroll in remedial and college-level courses as a way to accelerate progress toward degree completion. Lastly, the </w:t>
      </w:r>
      <w:r w:rsidRPr="004B0CAA">
        <w:rPr>
          <w:rFonts w:asciiTheme="minorHAnsi" w:hAnsiTheme="minorHAnsi"/>
          <w:sz w:val="22"/>
          <w:szCs w:val="22"/>
        </w:rPr>
        <w:lastRenderedPageBreak/>
        <w:t>Department was directed to create and phase-in a funding formula that includes both needs-based and outcomes-based components, the latter has implications for remediation.</w:t>
      </w:r>
    </w:p>
    <w:p w:rsidR="00CB11EC" w:rsidRPr="004B0CAA" w:rsidRDefault="00CB11EC" w:rsidP="006778AC">
      <w:pPr>
        <w:pStyle w:val="NormalWeb"/>
        <w:spacing w:before="0" w:beforeAutospacing="0" w:after="120" w:afterAutospacing="0"/>
        <w:rPr>
          <w:rFonts w:asciiTheme="minorHAnsi" w:hAnsiTheme="minorHAnsi"/>
          <w:sz w:val="22"/>
          <w:szCs w:val="22"/>
        </w:rPr>
      </w:pPr>
      <w:r>
        <w:rPr>
          <w:rFonts w:asciiTheme="minorHAnsi" w:hAnsiTheme="minorHAnsi"/>
          <w:sz w:val="22"/>
          <w:szCs w:val="22"/>
        </w:rPr>
        <w:t xml:space="preserve">In August 2011, Arkansas received a $1 million innovation challenge grant from Complete College America. The funding will </w:t>
      </w:r>
      <w:r w:rsidR="00812607">
        <w:rPr>
          <w:rFonts w:asciiTheme="minorHAnsi" w:hAnsiTheme="minorHAnsi"/>
          <w:sz w:val="22"/>
          <w:szCs w:val="22"/>
        </w:rPr>
        <w:t xml:space="preserve">support remedial education </w:t>
      </w:r>
      <w:r w:rsidR="00056C12">
        <w:rPr>
          <w:rFonts w:asciiTheme="minorHAnsi" w:hAnsiTheme="minorHAnsi"/>
          <w:sz w:val="22"/>
          <w:szCs w:val="22"/>
        </w:rPr>
        <w:t xml:space="preserve">transformation </w:t>
      </w:r>
      <w:r w:rsidR="00812607">
        <w:rPr>
          <w:rFonts w:asciiTheme="minorHAnsi" w:hAnsiTheme="minorHAnsi"/>
          <w:sz w:val="22"/>
          <w:szCs w:val="22"/>
        </w:rPr>
        <w:t>and accelerated degree programs at nine institutions.</w:t>
      </w:r>
    </w:p>
    <w:p w:rsidR="004B0CAA" w:rsidRPr="004B0CAA" w:rsidRDefault="004B0CAA" w:rsidP="006778AC">
      <w:pPr>
        <w:pStyle w:val="Heading2"/>
        <w:spacing w:before="0" w:beforeAutospacing="0" w:after="120" w:afterAutospacing="0"/>
        <w:rPr>
          <w:rFonts w:asciiTheme="minorHAnsi" w:hAnsiTheme="minorHAnsi"/>
          <w:sz w:val="22"/>
          <w:szCs w:val="22"/>
        </w:rPr>
      </w:pPr>
      <w:r w:rsidRPr="004B0CAA">
        <w:rPr>
          <w:rFonts w:asciiTheme="minorHAnsi" w:hAnsiTheme="minorHAnsi"/>
          <w:sz w:val="22"/>
          <w:szCs w:val="22"/>
        </w:rPr>
        <w:t>Participation in National Projects:</w:t>
      </w:r>
    </w:p>
    <w:p w:rsidR="004B0CAA" w:rsidRPr="004B0CAA" w:rsidRDefault="00F5298C" w:rsidP="006778AC">
      <w:pPr>
        <w:numPr>
          <w:ilvl w:val="0"/>
          <w:numId w:val="2"/>
        </w:numPr>
        <w:spacing w:after="120" w:line="240" w:lineRule="auto"/>
      </w:pPr>
      <w:hyperlink r:id="rId13" w:history="1">
        <w:r w:rsidR="004B0CAA" w:rsidRPr="004B0CAA">
          <w:rPr>
            <w:rStyle w:val="Hyperlink"/>
          </w:rPr>
          <w:t>Achieving the Dream</w:t>
        </w:r>
      </w:hyperlink>
    </w:p>
    <w:p w:rsidR="004B0CAA" w:rsidRPr="004B0CAA" w:rsidRDefault="00F5298C" w:rsidP="006778AC">
      <w:pPr>
        <w:numPr>
          <w:ilvl w:val="0"/>
          <w:numId w:val="2"/>
        </w:numPr>
        <w:spacing w:after="120" w:line="240" w:lineRule="auto"/>
      </w:pPr>
      <w:hyperlink r:id="rId14" w:history="1">
        <w:r w:rsidR="004B0CAA" w:rsidRPr="004B0CAA">
          <w:rPr>
            <w:rStyle w:val="Hyperlink"/>
          </w:rPr>
          <w:t>American Diploma Project</w:t>
        </w:r>
      </w:hyperlink>
    </w:p>
    <w:p w:rsidR="004B0CAA" w:rsidRPr="004B0CAA" w:rsidRDefault="00F5298C" w:rsidP="006778AC">
      <w:pPr>
        <w:numPr>
          <w:ilvl w:val="0"/>
          <w:numId w:val="2"/>
        </w:numPr>
        <w:spacing w:after="120" w:line="240" w:lineRule="auto"/>
      </w:pPr>
      <w:hyperlink r:id="rId15" w:tgtFrame="_self" w:history="1">
        <w:r w:rsidR="004B0CAA" w:rsidRPr="004B0CAA">
          <w:rPr>
            <w:rStyle w:val="Hyperlink"/>
          </w:rPr>
          <w:t>Common Core Standards Initiative</w:t>
        </w:r>
      </w:hyperlink>
    </w:p>
    <w:p w:rsidR="004B0CAA" w:rsidRPr="004B0CAA" w:rsidRDefault="00F5298C" w:rsidP="006778AC">
      <w:pPr>
        <w:numPr>
          <w:ilvl w:val="0"/>
          <w:numId w:val="2"/>
        </w:numPr>
        <w:spacing w:after="120" w:line="240" w:lineRule="auto"/>
      </w:pPr>
      <w:hyperlink r:id="rId16" w:history="1">
        <w:r w:rsidR="004B0CAA" w:rsidRPr="004B0CAA">
          <w:rPr>
            <w:rStyle w:val="Hyperlink"/>
          </w:rPr>
          <w:t>Complete College America</w:t>
        </w:r>
      </w:hyperlink>
    </w:p>
    <w:p w:rsidR="004B0CAA" w:rsidRPr="004B0CAA" w:rsidRDefault="004B0CAA" w:rsidP="006778AC">
      <w:pPr>
        <w:pStyle w:val="Heading2"/>
        <w:spacing w:before="0" w:beforeAutospacing="0" w:after="120" w:afterAutospacing="0"/>
        <w:rPr>
          <w:rFonts w:asciiTheme="minorHAnsi" w:hAnsiTheme="minorHAnsi"/>
          <w:sz w:val="22"/>
          <w:szCs w:val="22"/>
        </w:rPr>
      </w:pPr>
      <w:r w:rsidRPr="004B0CAA">
        <w:rPr>
          <w:rFonts w:asciiTheme="minorHAnsi" w:hAnsiTheme="minorHAnsi"/>
          <w:sz w:val="22"/>
          <w:szCs w:val="22"/>
        </w:rPr>
        <w:t>Leaders:</w:t>
      </w:r>
    </w:p>
    <w:p w:rsidR="004B0CAA" w:rsidRPr="004B0CAA" w:rsidRDefault="004B0CAA" w:rsidP="006778AC">
      <w:pPr>
        <w:numPr>
          <w:ilvl w:val="0"/>
          <w:numId w:val="3"/>
        </w:numPr>
        <w:spacing w:after="120" w:line="240" w:lineRule="auto"/>
      </w:pPr>
      <w:r w:rsidRPr="004B0CAA">
        <w:t>Shane Broadway, Interim Director, Arkansas Department of Higher Education</w:t>
      </w:r>
    </w:p>
    <w:p w:rsidR="004B0CAA" w:rsidRPr="004B0CAA" w:rsidRDefault="004B0CAA" w:rsidP="006778AC">
      <w:pPr>
        <w:numPr>
          <w:ilvl w:val="0"/>
          <w:numId w:val="3"/>
        </w:numPr>
        <w:spacing w:after="120" w:line="240" w:lineRule="auto"/>
      </w:pPr>
      <w:r w:rsidRPr="004B0CAA">
        <w:t>Karen Wheeler, Associate Director, Arkansas Department of Higher Education</w:t>
      </w:r>
    </w:p>
    <w:p w:rsidR="004B0CAA" w:rsidRPr="004B0CAA" w:rsidRDefault="004B0CAA" w:rsidP="006778AC">
      <w:pPr>
        <w:pStyle w:val="Heading2"/>
        <w:spacing w:before="0" w:beforeAutospacing="0" w:after="120" w:afterAutospacing="0"/>
        <w:rPr>
          <w:rFonts w:asciiTheme="minorHAnsi" w:hAnsiTheme="minorHAnsi"/>
          <w:sz w:val="22"/>
          <w:szCs w:val="22"/>
        </w:rPr>
      </w:pPr>
      <w:r w:rsidRPr="004B0CAA">
        <w:rPr>
          <w:rFonts w:asciiTheme="minorHAnsi" w:hAnsiTheme="minorHAnsi"/>
          <w:sz w:val="22"/>
          <w:szCs w:val="22"/>
        </w:rPr>
        <w:t>State Strengths:</w:t>
      </w:r>
    </w:p>
    <w:p w:rsidR="004B0CAA" w:rsidRPr="004B0CAA" w:rsidRDefault="004B0CAA" w:rsidP="006778AC">
      <w:pPr>
        <w:numPr>
          <w:ilvl w:val="0"/>
          <w:numId w:val="4"/>
        </w:numPr>
        <w:spacing w:after="120" w:line="240" w:lineRule="auto"/>
      </w:pPr>
      <w:r w:rsidRPr="004B0CAA">
        <w:t>Prioritizing pre-college assessment and intervention to measure student college readiness</w:t>
      </w:r>
    </w:p>
    <w:p w:rsidR="004B0CAA" w:rsidRPr="004B0CAA" w:rsidRDefault="004B0CAA" w:rsidP="006778AC">
      <w:pPr>
        <w:numPr>
          <w:ilvl w:val="0"/>
          <w:numId w:val="4"/>
        </w:numPr>
        <w:spacing w:after="120" w:line="240" w:lineRule="auto"/>
      </w:pPr>
      <w:r w:rsidRPr="004B0CAA">
        <w:t>Creating new data tracking infrastructure to gauge program and student success</w:t>
      </w:r>
    </w:p>
    <w:p w:rsidR="004B0CAA" w:rsidRDefault="004B0CAA" w:rsidP="006778AC">
      <w:pPr>
        <w:pStyle w:val="Heading2"/>
        <w:spacing w:before="0" w:beforeAutospacing="0" w:after="120" w:afterAutospacing="0"/>
        <w:rPr>
          <w:rFonts w:asciiTheme="minorHAnsi" w:hAnsiTheme="minorHAnsi"/>
          <w:sz w:val="22"/>
          <w:szCs w:val="22"/>
        </w:rPr>
      </w:pPr>
      <w:r w:rsidRPr="004B0CAA">
        <w:rPr>
          <w:rFonts w:asciiTheme="minorHAnsi" w:hAnsiTheme="minorHAnsi"/>
          <w:sz w:val="22"/>
          <w:szCs w:val="22"/>
        </w:rPr>
        <w:t>GPG Policy Database</w:t>
      </w:r>
    </w:p>
    <w:p w:rsidR="004B0CAA" w:rsidRPr="004B0CAA" w:rsidRDefault="004B0CAA" w:rsidP="006778AC">
      <w:pPr>
        <w:pStyle w:val="Heading2"/>
        <w:spacing w:before="0" w:beforeAutospacing="0" w:after="120" w:afterAutospacing="0"/>
        <w:rPr>
          <w:rFonts w:asciiTheme="minorHAnsi" w:hAnsiTheme="minorHAnsi"/>
          <w:b w:val="0"/>
          <w:sz w:val="22"/>
          <w:szCs w:val="22"/>
        </w:rPr>
      </w:pPr>
      <w:r>
        <w:rPr>
          <w:rFonts w:asciiTheme="minorHAnsi" w:hAnsiTheme="minorHAnsi"/>
          <w:b w:val="0"/>
          <w:sz w:val="22"/>
          <w:szCs w:val="22"/>
        </w:rPr>
        <w:t xml:space="preserve">For a list of Developmental Education Policies, please visit </w:t>
      </w:r>
      <w:r w:rsidR="00CB11EC">
        <w:rPr>
          <w:rFonts w:asciiTheme="minorHAnsi" w:hAnsiTheme="minorHAnsi"/>
          <w:b w:val="0"/>
          <w:sz w:val="22"/>
          <w:szCs w:val="22"/>
        </w:rPr>
        <w:br/>
      </w:r>
      <w:hyperlink r:id="rId17" w:history="1">
        <w:r w:rsidRPr="00CB11EC">
          <w:rPr>
            <w:rStyle w:val="Hyperlink"/>
            <w:rFonts w:asciiTheme="minorHAnsi" w:hAnsiTheme="minorHAnsi"/>
            <w:b w:val="0"/>
            <w:sz w:val="20"/>
            <w:szCs w:val="20"/>
          </w:rPr>
          <w:t>http://gettingpastgo.socrata.com/Education/Arkansas-State-Developmental-Education-Policies/mpnz-xm8a</w:t>
        </w:r>
      </w:hyperlink>
    </w:p>
    <w:p w:rsidR="004B0CAA" w:rsidRPr="004B0CAA" w:rsidRDefault="004B0CAA" w:rsidP="006778AC">
      <w:pPr>
        <w:pStyle w:val="Heading2"/>
        <w:spacing w:before="0" w:beforeAutospacing="0" w:after="120" w:afterAutospacing="0"/>
        <w:rPr>
          <w:rFonts w:asciiTheme="minorHAnsi" w:hAnsiTheme="minorHAnsi"/>
          <w:sz w:val="22"/>
          <w:szCs w:val="22"/>
        </w:rPr>
      </w:pPr>
      <w:r w:rsidRPr="004B0CAA">
        <w:rPr>
          <w:rFonts w:asciiTheme="minorHAnsi" w:hAnsiTheme="minorHAnsi"/>
          <w:sz w:val="22"/>
          <w:szCs w:val="22"/>
        </w:rPr>
        <w:t>Policy Authority:</w:t>
      </w:r>
    </w:p>
    <w:p w:rsidR="004B0CAA" w:rsidRPr="004B0CAA" w:rsidRDefault="004B0CAA" w:rsidP="006778AC">
      <w:pPr>
        <w:pStyle w:val="Heading3"/>
        <w:spacing w:before="0" w:beforeAutospacing="0" w:after="120" w:afterAutospacing="0"/>
        <w:rPr>
          <w:rFonts w:asciiTheme="minorHAnsi" w:hAnsiTheme="minorHAnsi"/>
          <w:sz w:val="22"/>
          <w:szCs w:val="22"/>
        </w:rPr>
      </w:pPr>
      <w:r w:rsidRPr="004B0CAA">
        <w:rPr>
          <w:rFonts w:asciiTheme="minorHAnsi" w:hAnsiTheme="minorHAnsi"/>
          <w:sz w:val="22"/>
          <w:szCs w:val="22"/>
        </w:rPr>
        <w:t>State</w:t>
      </w:r>
    </w:p>
    <w:p w:rsidR="006778AC" w:rsidRDefault="004B0CAA" w:rsidP="006778AC">
      <w:pPr>
        <w:pStyle w:val="NormalWeb"/>
        <w:spacing w:before="0" w:beforeAutospacing="0" w:after="120" w:afterAutospacing="0"/>
        <w:rPr>
          <w:rFonts w:asciiTheme="minorHAnsi" w:hAnsiTheme="minorHAnsi"/>
          <w:sz w:val="22"/>
          <w:szCs w:val="22"/>
        </w:rPr>
      </w:pPr>
      <w:r w:rsidRPr="004B0CAA">
        <w:rPr>
          <w:rFonts w:asciiTheme="minorHAnsi" w:hAnsiTheme="minorHAnsi"/>
          <w:sz w:val="22"/>
          <w:szCs w:val="22"/>
        </w:rPr>
        <w:t>The Arkansas General Assembly requires state colleges and universities to assess students’ college readiness. Institutional effort is monitored and assessed by the Department of Higher Education. The legislature, especially in the case of data reporting requirements, has played a role in setting the reform agenda.</w:t>
      </w:r>
    </w:p>
    <w:p w:rsidR="004B0CAA" w:rsidRPr="004B0CAA" w:rsidRDefault="004B0CAA" w:rsidP="006778AC">
      <w:pPr>
        <w:pStyle w:val="Heading3"/>
        <w:spacing w:before="0" w:beforeAutospacing="0" w:after="120" w:afterAutospacing="0"/>
        <w:rPr>
          <w:rFonts w:asciiTheme="minorHAnsi" w:hAnsiTheme="minorHAnsi"/>
          <w:sz w:val="22"/>
          <w:szCs w:val="22"/>
        </w:rPr>
      </w:pPr>
      <w:r w:rsidRPr="004B0CAA">
        <w:rPr>
          <w:rFonts w:asciiTheme="minorHAnsi" w:hAnsiTheme="minorHAnsi"/>
          <w:sz w:val="22"/>
          <w:szCs w:val="22"/>
        </w:rPr>
        <w:t>System</w:t>
      </w:r>
    </w:p>
    <w:p w:rsidR="006778AC" w:rsidRDefault="004B0CAA" w:rsidP="005973F5">
      <w:pPr>
        <w:pStyle w:val="NormalWeb"/>
        <w:spacing w:before="0" w:beforeAutospacing="0" w:after="120" w:afterAutospacing="0"/>
        <w:rPr>
          <w:rFonts w:asciiTheme="minorHAnsi" w:hAnsiTheme="minorHAnsi"/>
          <w:sz w:val="22"/>
          <w:szCs w:val="22"/>
        </w:rPr>
      </w:pPr>
      <w:r w:rsidRPr="004B0CAA">
        <w:rPr>
          <w:rFonts w:asciiTheme="minorHAnsi" w:hAnsiTheme="minorHAnsi"/>
          <w:sz w:val="22"/>
          <w:szCs w:val="22"/>
        </w:rPr>
        <w:t>The Department of Higher Education coordinates policy for public institutions. The department is the accountability body through which data and evaluations filter to the legislature. The legislature has empowered the department to consult with institutions to seek alternative delivery models for remediation.</w:t>
      </w:r>
    </w:p>
    <w:p w:rsidR="004B0CAA" w:rsidRPr="004B0CAA" w:rsidRDefault="004B0CAA" w:rsidP="006778AC">
      <w:pPr>
        <w:pStyle w:val="Heading3"/>
        <w:spacing w:before="0" w:beforeAutospacing="0" w:after="120" w:afterAutospacing="0"/>
        <w:rPr>
          <w:rFonts w:asciiTheme="minorHAnsi" w:hAnsiTheme="minorHAnsi"/>
          <w:sz w:val="22"/>
          <w:szCs w:val="22"/>
        </w:rPr>
      </w:pPr>
      <w:r w:rsidRPr="004B0CAA">
        <w:rPr>
          <w:rFonts w:asciiTheme="minorHAnsi" w:hAnsiTheme="minorHAnsi"/>
          <w:sz w:val="22"/>
          <w:szCs w:val="22"/>
        </w:rPr>
        <w:t>Institutional</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Fonts w:asciiTheme="minorHAnsi" w:hAnsiTheme="minorHAnsi"/>
          <w:sz w:val="22"/>
          <w:szCs w:val="22"/>
        </w:rPr>
        <w:t>The institutions have considerable latitude in setting their cut scores above the agreed upon state minimum. As laboratories of instructional reform, institutions also may play a role in creating local assessments or course innovations suited to their students.</w:t>
      </w:r>
    </w:p>
    <w:p w:rsidR="004B0CAA" w:rsidRPr="004B0CAA" w:rsidRDefault="004B0CAA" w:rsidP="006778AC">
      <w:pPr>
        <w:pStyle w:val="Heading3"/>
        <w:spacing w:before="0" w:beforeAutospacing="0" w:after="120" w:afterAutospacing="0"/>
        <w:rPr>
          <w:rFonts w:asciiTheme="minorHAnsi" w:hAnsiTheme="minorHAnsi"/>
          <w:sz w:val="22"/>
          <w:szCs w:val="22"/>
        </w:rPr>
      </w:pPr>
      <w:r w:rsidRPr="004B0CAA">
        <w:rPr>
          <w:rFonts w:asciiTheme="minorHAnsi" w:hAnsiTheme="minorHAnsi"/>
          <w:sz w:val="22"/>
          <w:szCs w:val="22"/>
        </w:rPr>
        <w:t>Comparison States</w:t>
      </w:r>
    </w:p>
    <w:p w:rsidR="004B0CAA" w:rsidRPr="004B0CAA" w:rsidRDefault="00F5298C" w:rsidP="006778AC">
      <w:pPr>
        <w:numPr>
          <w:ilvl w:val="0"/>
          <w:numId w:val="5"/>
        </w:numPr>
        <w:spacing w:after="120" w:line="240" w:lineRule="auto"/>
      </w:pPr>
      <w:hyperlink r:id="rId18" w:history="1">
        <w:r w:rsidR="004B0CAA" w:rsidRPr="004B0CAA">
          <w:rPr>
            <w:rStyle w:val="Hyperlink"/>
          </w:rPr>
          <w:t>California</w:t>
        </w:r>
      </w:hyperlink>
      <w:r w:rsidR="004B0CAA" w:rsidRPr="004B0CAA">
        <w:t xml:space="preserve"> and </w:t>
      </w:r>
      <w:hyperlink r:id="rId19" w:history="1">
        <w:r w:rsidR="004B0CAA" w:rsidRPr="004B0CAA">
          <w:rPr>
            <w:rStyle w:val="Hyperlink"/>
          </w:rPr>
          <w:t>Florida</w:t>
        </w:r>
      </w:hyperlink>
      <w:r w:rsidR="004B0CAA" w:rsidRPr="004B0CAA">
        <w:t xml:space="preserve"> have early intervention programs in place to identify students who may require remedial instruction in college.</w:t>
      </w:r>
    </w:p>
    <w:p w:rsidR="004B0CAA" w:rsidRPr="004B0CAA" w:rsidRDefault="00F5298C" w:rsidP="006778AC">
      <w:pPr>
        <w:numPr>
          <w:ilvl w:val="0"/>
          <w:numId w:val="5"/>
        </w:numPr>
        <w:spacing w:after="120" w:line="240" w:lineRule="auto"/>
      </w:pPr>
      <w:hyperlink r:id="rId20" w:history="1">
        <w:r w:rsidR="004B0CAA" w:rsidRPr="004B0CAA">
          <w:rPr>
            <w:rStyle w:val="Hyperlink"/>
          </w:rPr>
          <w:t>Tennessee</w:t>
        </w:r>
      </w:hyperlink>
      <w:r w:rsidR="004B0CAA" w:rsidRPr="004B0CAA">
        <w:t xml:space="preserve"> and </w:t>
      </w:r>
      <w:hyperlink r:id="rId21" w:history="1">
        <w:r w:rsidR="004B0CAA" w:rsidRPr="004B0CAA">
          <w:rPr>
            <w:rStyle w:val="Hyperlink"/>
          </w:rPr>
          <w:t>Kentucky</w:t>
        </w:r>
      </w:hyperlink>
      <w:r w:rsidR="004B0CAA" w:rsidRPr="004B0CAA">
        <w:t xml:space="preserve"> have had activist legislatures on the issue of remediation. Various task forces and governance reform efforts in the three states have indicated the need for policy reform.</w:t>
      </w:r>
    </w:p>
    <w:p w:rsidR="00812607" w:rsidRDefault="00812607" w:rsidP="006778AC">
      <w:pPr>
        <w:pStyle w:val="Heading1"/>
        <w:spacing w:before="0" w:beforeAutospacing="0" w:after="120" w:afterAutospacing="0"/>
        <w:rPr>
          <w:rFonts w:asciiTheme="minorHAnsi" w:hAnsiTheme="minorHAnsi"/>
          <w:sz w:val="28"/>
          <w:szCs w:val="28"/>
        </w:rPr>
      </w:pPr>
    </w:p>
    <w:p w:rsidR="004B0CAA" w:rsidRPr="004B0CAA" w:rsidRDefault="004B0CAA" w:rsidP="006778AC">
      <w:pPr>
        <w:pStyle w:val="Heading1"/>
        <w:spacing w:before="0" w:beforeAutospacing="0" w:after="120" w:afterAutospacing="0"/>
        <w:rPr>
          <w:rFonts w:asciiTheme="minorHAnsi" w:hAnsiTheme="minorHAnsi"/>
          <w:sz w:val="28"/>
          <w:szCs w:val="28"/>
        </w:rPr>
      </w:pPr>
      <w:r w:rsidRPr="004B0CAA">
        <w:rPr>
          <w:rFonts w:asciiTheme="minorHAnsi" w:hAnsiTheme="minorHAnsi"/>
          <w:sz w:val="28"/>
          <w:szCs w:val="28"/>
        </w:rPr>
        <w:lastRenderedPageBreak/>
        <w:t>Assessment and Placement</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Fonts w:asciiTheme="minorHAnsi" w:hAnsiTheme="minorHAnsi"/>
          <w:sz w:val="22"/>
          <w:szCs w:val="22"/>
        </w:rPr>
        <w:t xml:space="preserve">Since 1989, the Arkansas General Assembly has required state colleges and universities to assess students’ readiness for college-level instruction in math, reading, and writing. In 1991, the legislature directed the Department of Higher Education to set minimum cut scores. While the same act empowers the department to designate which tests may be used and which exemptions may be granted, individual institutions retain some autonomy in setting their cut scores above the minimum. A 2008 legislative task force report requires students scoring below a 19 ACT </w:t>
      </w:r>
      <w:r w:rsidR="00CB11EC">
        <w:rPr>
          <w:rFonts w:asciiTheme="minorHAnsi" w:hAnsiTheme="minorHAnsi"/>
          <w:sz w:val="22"/>
          <w:szCs w:val="22"/>
        </w:rPr>
        <w:t>to</w:t>
      </w:r>
      <w:r w:rsidRPr="004B0CAA">
        <w:rPr>
          <w:rFonts w:asciiTheme="minorHAnsi" w:hAnsiTheme="minorHAnsi"/>
          <w:sz w:val="22"/>
          <w:szCs w:val="22"/>
        </w:rPr>
        <w:t xml:space="preserve"> receive a second diagnostic assessment to ensure correct placement. Piloting of local, standardized assessments, allowed under a 2009 statute, may increase the range of instruments an institution could use to test incoming students.</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Fonts w:asciiTheme="minorHAnsi" w:hAnsiTheme="minorHAnsi"/>
          <w:sz w:val="22"/>
          <w:szCs w:val="22"/>
        </w:rPr>
        <w:t>Coordinating board policy also establishes concordant scores for the SAT, ASSET and COMPASS.</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Fonts w:asciiTheme="minorHAnsi" w:hAnsiTheme="minorHAnsi"/>
          <w:sz w:val="22"/>
          <w:szCs w:val="22"/>
        </w:rPr>
        <w:t xml:space="preserve">Under </w:t>
      </w:r>
      <w:hyperlink r:id="rId22" w:tgtFrame="_self" w:history="1">
        <w:r w:rsidRPr="004B0CAA">
          <w:rPr>
            <w:rStyle w:val="Hyperlink"/>
            <w:rFonts w:asciiTheme="minorHAnsi" w:hAnsiTheme="minorHAnsi"/>
            <w:sz w:val="22"/>
            <w:szCs w:val="22"/>
          </w:rPr>
          <w:t>House Bill 2032</w:t>
        </w:r>
      </w:hyperlink>
      <w:r w:rsidRPr="004B0CAA">
        <w:rPr>
          <w:rFonts w:asciiTheme="minorHAnsi" w:hAnsiTheme="minorHAnsi"/>
          <w:sz w:val="22"/>
          <w:szCs w:val="22"/>
        </w:rPr>
        <w:t xml:space="preserve"> passed in 2011, the Arkansas Higher Education Coordinating Board was directed to determine “other criteria” beyond tests and minimum scores that place students into remedial education.  The measure also requires the Board to set minimum criteria and assessment scores for students to enroll in remedial and college-level courses simultaneously.</w:t>
      </w:r>
    </w:p>
    <w:p w:rsidR="004B0CAA" w:rsidRDefault="004B0CAA" w:rsidP="006778AC">
      <w:pPr>
        <w:pStyle w:val="Heading2"/>
        <w:spacing w:before="0" w:beforeAutospacing="0" w:after="120" w:afterAutospacing="0"/>
        <w:rPr>
          <w:rFonts w:asciiTheme="minorHAnsi" w:hAnsiTheme="minorHAnsi"/>
          <w:sz w:val="22"/>
          <w:szCs w:val="22"/>
        </w:rPr>
      </w:pPr>
      <w:r w:rsidRPr="004B0CAA">
        <w:rPr>
          <w:rFonts w:asciiTheme="minorHAnsi" w:hAnsiTheme="minorHAnsi"/>
          <w:sz w:val="22"/>
          <w:szCs w:val="22"/>
        </w:rPr>
        <w:t>GPG Policy Database</w:t>
      </w:r>
    </w:p>
    <w:p w:rsidR="004B0CAA" w:rsidRPr="004B0CAA" w:rsidRDefault="004B0CAA" w:rsidP="006778AC">
      <w:pPr>
        <w:pStyle w:val="Heading2"/>
        <w:spacing w:before="0" w:beforeAutospacing="0" w:after="120" w:afterAutospacing="0"/>
      </w:pPr>
      <w:r>
        <w:rPr>
          <w:rFonts w:asciiTheme="minorHAnsi" w:hAnsiTheme="minorHAnsi"/>
          <w:b w:val="0"/>
          <w:sz w:val="22"/>
          <w:szCs w:val="22"/>
        </w:rPr>
        <w:t>For a list of Assessment, Placement and Completion Policies, please visit</w:t>
      </w:r>
      <w:r>
        <w:t xml:space="preserve"> </w:t>
      </w:r>
      <w:hyperlink r:id="rId23" w:history="1">
        <w:r w:rsidRPr="00CB11EC">
          <w:rPr>
            <w:rStyle w:val="Hyperlink"/>
            <w:rFonts w:asciiTheme="minorHAnsi" w:hAnsiTheme="minorHAnsi"/>
            <w:b w:val="0"/>
            <w:sz w:val="20"/>
            <w:szCs w:val="20"/>
          </w:rPr>
          <w:t>http://gettingpastgo.socrata.com/Education/Arkansas-Assessment-and-Placement/ehmz-9n4y</w:t>
        </w:r>
      </w:hyperlink>
    </w:p>
    <w:p w:rsidR="006778AC" w:rsidRDefault="004B0CAA" w:rsidP="003670D2">
      <w:pPr>
        <w:spacing w:line="240" w:lineRule="auto"/>
      </w:pPr>
      <w:r>
        <w:t>For a list of Assessment and Placement Cut Scores, please visit</w:t>
      </w:r>
    </w:p>
    <w:p w:rsidR="003670D2" w:rsidRPr="00CB11EC" w:rsidRDefault="00F5298C" w:rsidP="003670D2">
      <w:pPr>
        <w:spacing w:line="240" w:lineRule="auto"/>
        <w:rPr>
          <w:sz w:val="20"/>
          <w:szCs w:val="20"/>
        </w:rPr>
      </w:pPr>
      <w:hyperlink r:id="rId24" w:history="1">
        <w:r w:rsidR="004B0CAA" w:rsidRPr="00CB11EC">
          <w:rPr>
            <w:rStyle w:val="Hyperlink"/>
            <w:sz w:val="20"/>
            <w:szCs w:val="20"/>
          </w:rPr>
          <w:t>http://gettingpastgo.socrata.com/Education/Arkansas-Assessment-and-Placement-Cutscores/74tb-72gn</w:t>
        </w:r>
      </w:hyperlink>
    </w:p>
    <w:p w:rsidR="003670D2" w:rsidRPr="003670D2" w:rsidRDefault="003670D2" w:rsidP="003670D2">
      <w:pPr>
        <w:spacing w:line="240" w:lineRule="auto"/>
      </w:pPr>
    </w:p>
    <w:p w:rsidR="004B0CAA" w:rsidRPr="004B0CAA" w:rsidRDefault="004B0CAA" w:rsidP="006778AC">
      <w:pPr>
        <w:spacing w:after="120" w:line="240" w:lineRule="auto"/>
        <w:rPr>
          <w:b/>
        </w:rPr>
      </w:pPr>
      <w:r w:rsidRPr="004B0CAA">
        <w:rPr>
          <w:b/>
        </w:rPr>
        <w:t>Strengths &amp; Challenges:</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Style w:val="Strong"/>
          <w:rFonts w:asciiTheme="minorHAnsi" w:hAnsiTheme="minorHAnsi"/>
          <w:sz w:val="22"/>
          <w:szCs w:val="22"/>
        </w:rPr>
        <w:t>Strengths</w:t>
      </w:r>
    </w:p>
    <w:p w:rsidR="004B0CAA" w:rsidRPr="004B0CAA" w:rsidRDefault="004B0CAA" w:rsidP="006778AC">
      <w:pPr>
        <w:numPr>
          <w:ilvl w:val="0"/>
          <w:numId w:val="6"/>
        </w:numPr>
        <w:spacing w:after="120" w:line="240" w:lineRule="auto"/>
      </w:pPr>
      <w:r w:rsidRPr="004B0CAA">
        <w:t>Statutes encourage shared decision-making between institutions and the coordinating board on how to determine the statewide minimum cut score</w:t>
      </w:r>
    </w:p>
    <w:p w:rsidR="004B0CAA" w:rsidRPr="004B0CAA" w:rsidRDefault="004B0CAA" w:rsidP="006778AC">
      <w:pPr>
        <w:numPr>
          <w:ilvl w:val="0"/>
          <w:numId w:val="6"/>
        </w:numPr>
        <w:spacing w:after="120" w:line="240" w:lineRule="auto"/>
      </w:pPr>
      <w:r w:rsidRPr="004B0CAA">
        <w:t>Coordinating board analyzes placement testing through institution-specific piloting, comparison between neighboring states</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Style w:val="Strong"/>
          <w:rFonts w:asciiTheme="minorHAnsi" w:hAnsiTheme="minorHAnsi"/>
          <w:sz w:val="22"/>
          <w:szCs w:val="22"/>
        </w:rPr>
        <w:t>Challenges</w:t>
      </w:r>
    </w:p>
    <w:p w:rsidR="004B0CAA" w:rsidRPr="004B0CAA" w:rsidRDefault="004B0CAA" w:rsidP="006778AC">
      <w:pPr>
        <w:numPr>
          <w:ilvl w:val="0"/>
          <w:numId w:val="7"/>
        </w:numPr>
        <w:spacing w:after="120" w:line="240" w:lineRule="auto"/>
      </w:pPr>
      <w:r w:rsidRPr="004B0CAA">
        <w:t>Statutes require assessment of first-time freshmen but do not advise how students entering through nontraditional pathways should be placed.</w:t>
      </w:r>
    </w:p>
    <w:p w:rsidR="006778AC" w:rsidRPr="005973F5" w:rsidRDefault="004B0CAA" w:rsidP="006778AC">
      <w:pPr>
        <w:numPr>
          <w:ilvl w:val="0"/>
          <w:numId w:val="7"/>
        </w:numPr>
        <w:spacing w:after="120" w:line="240" w:lineRule="auto"/>
      </w:pPr>
      <w:r w:rsidRPr="004B0CAA">
        <w:t>Differential cut scores for institutions confuse students. Instead, setting a maximum exemption score and adjusting cut scores downward based on institution would reduce confusion.</w:t>
      </w:r>
    </w:p>
    <w:p w:rsidR="004B0CAA" w:rsidRPr="004B0CAA" w:rsidRDefault="004B0CAA" w:rsidP="006778AC">
      <w:pPr>
        <w:pStyle w:val="Heading2"/>
        <w:spacing w:before="0" w:beforeAutospacing="0" w:after="120" w:afterAutospacing="0"/>
        <w:rPr>
          <w:rFonts w:asciiTheme="minorHAnsi" w:hAnsiTheme="minorHAnsi"/>
          <w:sz w:val="22"/>
          <w:szCs w:val="22"/>
        </w:rPr>
      </w:pPr>
      <w:r w:rsidRPr="004B0CAA">
        <w:rPr>
          <w:rFonts w:asciiTheme="minorHAnsi" w:hAnsiTheme="minorHAnsi"/>
          <w:sz w:val="22"/>
          <w:szCs w:val="22"/>
        </w:rPr>
        <w:t>Policy Questions:</w:t>
      </w:r>
    </w:p>
    <w:p w:rsidR="004B0CAA" w:rsidRPr="004B0CAA" w:rsidRDefault="004B0CAA" w:rsidP="006778AC">
      <w:pPr>
        <w:numPr>
          <w:ilvl w:val="0"/>
          <w:numId w:val="8"/>
        </w:numPr>
        <w:spacing w:after="120" w:line="240" w:lineRule="auto"/>
      </w:pPr>
      <w:r w:rsidRPr="006778AC">
        <w:t>Should you require a diagnostic assessment to pinpoint student deficiencies?</w:t>
      </w:r>
    </w:p>
    <w:p w:rsidR="004B0CAA" w:rsidRPr="004B0CAA" w:rsidRDefault="004B0CAA" w:rsidP="006778AC">
      <w:pPr>
        <w:numPr>
          <w:ilvl w:val="0"/>
          <w:numId w:val="8"/>
        </w:numPr>
        <w:spacing w:after="120" w:line="240" w:lineRule="auto"/>
      </w:pPr>
      <w:r w:rsidRPr="006778AC">
        <w:t>Should you consider a cut score that fully exempts students from remedial education?</w:t>
      </w:r>
    </w:p>
    <w:p w:rsidR="004B0CAA" w:rsidRPr="004B0CAA" w:rsidRDefault="004B0CAA" w:rsidP="006778AC">
      <w:pPr>
        <w:numPr>
          <w:ilvl w:val="0"/>
          <w:numId w:val="8"/>
        </w:numPr>
        <w:spacing w:after="120" w:line="240" w:lineRule="auto"/>
      </w:pPr>
      <w:r w:rsidRPr="006778AC">
        <w:t>Should you increase your cut scores?</w:t>
      </w:r>
    </w:p>
    <w:p w:rsidR="004B0CAA" w:rsidRPr="004B0CAA" w:rsidRDefault="004B0CAA" w:rsidP="006778AC">
      <w:pPr>
        <w:numPr>
          <w:ilvl w:val="0"/>
          <w:numId w:val="8"/>
        </w:numPr>
        <w:spacing w:after="120" w:line="240" w:lineRule="auto"/>
      </w:pPr>
      <w:r w:rsidRPr="006778AC">
        <w:t>Should you consider a common assessment for all institutions?</w:t>
      </w:r>
    </w:p>
    <w:p w:rsidR="004B0CAA" w:rsidRPr="004B0CAA" w:rsidRDefault="004B0CAA" w:rsidP="006778AC">
      <w:pPr>
        <w:pStyle w:val="Heading1"/>
        <w:spacing w:before="0" w:beforeAutospacing="0" w:after="120" w:afterAutospacing="0"/>
        <w:rPr>
          <w:rFonts w:asciiTheme="minorHAnsi" w:hAnsiTheme="minorHAnsi"/>
          <w:sz w:val="28"/>
          <w:szCs w:val="28"/>
        </w:rPr>
      </w:pPr>
      <w:r w:rsidRPr="004B0CAA">
        <w:rPr>
          <w:rFonts w:asciiTheme="minorHAnsi" w:hAnsiTheme="minorHAnsi"/>
          <w:sz w:val="28"/>
          <w:szCs w:val="28"/>
        </w:rPr>
        <w:t>Instructional Delivery</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Fonts w:asciiTheme="minorHAnsi" w:hAnsiTheme="minorHAnsi"/>
          <w:sz w:val="22"/>
          <w:szCs w:val="22"/>
        </w:rPr>
        <w:t xml:space="preserve">In 2009, the Arkansas legislature created an early intervention and assessment program to measure college and career readiness. When fully implemented in </w:t>
      </w:r>
      <w:r w:rsidR="00921399">
        <w:rPr>
          <w:rFonts w:asciiTheme="minorHAnsi" w:hAnsiTheme="minorHAnsi"/>
          <w:sz w:val="22"/>
          <w:szCs w:val="22"/>
        </w:rPr>
        <w:t>F</w:t>
      </w:r>
      <w:r w:rsidRPr="004B0CAA">
        <w:rPr>
          <w:rFonts w:asciiTheme="minorHAnsi" w:hAnsiTheme="minorHAnsi"/>
          <w:sz w:val="22"/>
          <w:szCs w:val="22"/>
        </w:rPr>
        <w:t xml:space="preserve">all 2011, the Arkansas College and Career Readiness Planning Program will mandate assessment of public high school students in grades 8 and 10. High schools will use pre-collegiate tests, such as EXPLORE, PLAN, and the PSAT, to identify areas of strength and deficiency in </w:t>
      </w:r>
      <w:r w:rsidRPr="004B0CAA">
        <w:rPr>
          <w:rFonts w:asciiTheme="minorHAnsi" w:hAnsiTheme="minorHAnsi"/>
          <w:sz w:val="22"/>
          <w:szCs w:val="22"/>
        </w:rPr>
        <w:lastRenderedPageBreak/>
        <w:t>math, reading, writing, and science. Once students enroll in a public postsecondary institution, they will be assessed again.</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Fonts w:asciiTheme="minorHAnsi" w:hAnsiTheme="minorHAnsi"/>
          <w:sz w:val="22"/>
          <w:szCs w:val="22"/>
        </w:rPr>
        <w:t xml:space="preserve">In 2011, the legislature enacted </w:t>
      </w:r>
      <w:hyperlink r:id="rId25" w:tgtFrame="_self" w:history="1">
        <w:r w:rsidRPr="004B0CAA">
          <w:rPr>
            <w:rStyle w:val="Hyperlink"/>
            <w:rFonts w:asciiTheme="minorHAnsi" w:hAnsiTheme="minorHAnsi"/>
            <w:sz w:val="22"/>
            <w:szCs w:val="22"/>
          </w:rPr>
          <w:t xml:space="preserve">House Bill 1671 </w:t>
        </w:r>
      </w:hyperlink>
      <w:r w:rsidRPr="004B0CAA">
        <w:rPr>
          <w:rFonts w:asciiTheme="minorHAnsi" w:hAnsiTheme="minorHAnsi"/>
          <w:sz w:val="22"/>
          <w:szCs w:val="22"/>
        </w:rPr>
        <w:t xml:space="preserve">that significantly strengthens and intensifies the postsecondary preparation interventions that were previously geared toward 11th and 12th graders. The new programs target students in grades 8 through 11, based on college readiness assessments (mentioned above) and </w:t>
      </w:r>
      <w:proofErr w:type="gramStart"/>
      <w:r w:rsidRPr="004B0CAA">
        <w:rPr>
          <w:rFonts w:asciiTheme="minorHAnsi" w:hAnsiTheme="minorHAnsi"/>
          <w:sz w:val="22"/>
          <w:szCs w:val="22"/>
        </w:rPr>
        <w:t>benchmarks,</w:t>
      </w:r>
      <w:proofErr w:type="gramEnd"/>
      <w:r w:rsidRPr="004B0CAA">
        <w:rPr>
          <w:rFonts w:asciiTheme="minorHAnsi" w:hAnsiTheme="minorHAnsi"/>
          <w:sz w:val="22"/>
          <w:szCs w:val="22"/>
        </w:rPr>
        <w:t xml:space="preserve"> and underprepared students will be more strongly encourage to participate. The interventions will be more comprehensive, and include counseling, parental involvement, educator professional development, evaluation and reporting, and will promote collaboration between districts and postsecondary institutions.</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Fonts w:asciiTheme="minorHAnsi" w:hAnsiTheme="minorHAnsi"/>
          <w:sz w:val="22"/>
          <w:szCs w:val="22"/>
        </w:rPr>
        <w:t xml:space="preserve">Lawmakers also passed </w:t>
      </w:r>
      <w:hyperlink r:id="rId26" w:tgtFrame="_self" w:history="1">
        <w:r w:rsidRPr="004B0CAA">
          <w:rPr>
            <w:rStyle w:val="Hyperlink"/>
            <w:rFonts w:asciiTheme="minorHAnsi" w:hAnsiTheme="minorHAnsi"/>
            <w:sz w:val="22"/>
            <w:szCs w:val="22"/>
          </w:rPr>
          <w:t>H.B. 1620</w:t>
        </w:r>
      </w:hyperlink>
      <w:r w:rsidRPr="004B0CAA">
        <w:rPr>
          <w:rFonts w:asciiTheme="minorHAnsi" w:hAnsiTheme="minorHAnsi"/>
          <w:sz w:val="22"/>
          <w:szCs w:val="22"/>
        </w:rPr>
        <w:t xml:space="preserve"> in 2011 that creates programs allowing career and technical high school students to earn postsecondary credits. The programs also are designed to help students transition to postsecondary education without requiring duplicate classes or remedial education.</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Fonts w:asciiTheme="minorHAnsi" w:hAnsiTheme="minorHAnsi"/>
          <w:sz w:val="22"/>
          <w:szCs w:val="22"/>
        </w:rPr>
        <w:t xml:space="preserve">In addition, the legislature enacted </w:t>
      </w:r>
      <w:hyperlink r:id="rId27" w:tgtFrame="_self" w:history="1">
        <w:r w:rsidRPr="004B0CAA">
          <w:rPr>
            <w:rStyle w:val="Hyperlink"/>
            <w:rFonts w:asciiTheme="minorHAnsi" w:hAnsiTheme="minorHAnsi"/>
            <w:sz w:val="22"/>
            <w:szCs w:val="22"/>
          </w:rPr>
          <w:t>H.B. 2032</w:t>
        </w:r>
      </w:hyperlink>
      <w:r w:rsidRPr="004B0CAA">
        <w:rPr>
          <w:rFonts w:asciiTheme="minorHAnsi" w:hAnsiTheme="minorHAnsi"/>
          <w:sz w:val="22"/>
          <w:szCs w:val="22"/>
        </w:rPr>
        <w:t xml:space="preserve"> that requires the Arkansas Higher Education Coordinating Board to set minimum criteria and assessment scores for students to simultaneously enroll in remedial and college-level courses. Previously, students could co-enroll in developmental and college level English classes; however, students had to complete remedial math programs before enrolling in related college-level classes. The co-enrollment approach is gaining traction around the country and is viewed as a way to accelerate students’ remedial course and degree completion, and potentially at a lower cost.</w:t>
      </w:r>
    </w:p>
    <w:p w:rsidR="004B0CAA" w:rsidRPr="004B0CAA" w:rsidRDefault="004B0CAA" w:rsidP="006778AC">
      <w:pPr>
        <w:pStyle w:val="Heading2"/>
        <w:spacing w:before="0" w:beforeAutospacing="0" w:after="120" w:afterAutospacing="0"/>
        <w:rPr>
          <w:rFonts w:asciiTheme="minorHAnsi" w:hAnsiTheme="minorHAnsi"/>
          <w:sz w:val="22"/>
          <w:szCs w:val="22"/>
        </w:rPr>
      </w:pPr>
      <w:r w:rsidRPr="004B0CAA">
        <w:rPr>
          <w:rFonts w:asciiTheme="minorHAnsi" w:hAnsiTheme="minorHAnsi"/>
          <w:sz w:val="22"/>
          <w:szCs w:val="22"/>
        </w:rPr>
        <w:t>GPG Policy Database</w:t>
      </w:r>
    </w:p>
    <w:p w:rsidR="004B0CAA" w:rsidRPr="00CB11EC" w:rsidRDefault="00726132" w:rsidP="006778AC">
      <w:pPr>
        <w:spacing w:after="120" w:line="240" w:lineRule="auto"/>
        <w:rPr>
          <w:sz w:val="20"/>
          <w:szCs w:val="20"/>
        </w:rPr>
      </w:pPr>
      <w:r w:rsidRPr="006778AC">
        <w:t>For a list of Instructional Delivery policies, please visit</w:t>
      </w:r>
      <w:r>
        <w:t xml:space="preserve"> </w:t>
      </w:r>
      <w:r w:rsidR="00CB11EC">
        <w:br/>
      </w:r>
      <w:hyperlink r:id="rId28" w:history="1">
        <w:r w:rsidRPr="00CB11EC">
          <w:rPr>
            <w:rStyle w:val="Hyperlink"/>
            <w:sz w:val="20"/>
            <w:szCs w:val="20"/>
          </w:rPr>
          <w:t>http://gettingpastgo.socrata.com/Education/Arkansas-Instructional-Delivery-Strategies/2djr-pjqi</w:t>
        </w:r>
      </w:hyperlink>
    </w:p>
    <w:p w:rsidR="004B0CAA" w:rsidRPr="004B0CAA" w:rsidRDefault="004B0CAA" w:rsidP="006778AC">
      <w:pPr>
        <w:pStyle w:val="Heading2"/>
        <w:spacing w:before="0" w:beforeAutospacing="0" w:after="120" w:afterAutospacing="0"/>
        <w:rPr>
          <w:rFonts w:asciiTheme="minorHAnsi" w:hAnsiTheme="minorHAnsi"/>
          <w:sz w:val="22"/>
          <w:szCs w:val="22"/>
        </w:rPr>
      </w:pPr>
      <w:r w:rsidRPr="004B0CAA">
        <w:rPr>
          <w:rFonts w:asciiTheme="minorHAnsi" w:hAnsiTheme="minorHAnsi"/>
          <w:sz w:val="22"/>
          <w:szCs w:val="22"/>
        </w:rPr>
        <w:t>Strengths &amp; Challenges:</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Style w:val="Strong"/>
          <w:rFonts w:asciiTheme="minorHAnsi" w:hAnsiTheme="minorHAnsi"/>
          <w:color w:val="000000"/>
          <w:sz w:val="22"/>
          <w:szCs w:val="22"/>
        </w:rPr>
        <w:t>Strengths</w:t>
      </w:r>
    </w:p>
    <w:p w:rsidR="004B0CAA" w:rsidRPr="004B0CAA" w:rsidRDefault="004B0CAA" w:rsidP="006778AC">
      <w:pPr>
        <w:numPr>
          <w:ilvl w:val="0"/>
          <w:numId w:val="9"/>
        </w:numPr>
        <w:spacing w:after="120" w:line="240" w:lineRule="auto"/>
      </w:pPr>
      <w:r w:rsidRPr="004B0CAA">
        <w:rPr>
          <w:color w:val="000000"/>
        </w:rPr>
        <w:t xml:space="preserve">Early intervention policy may identify areas for improvement in academic subjects, as well as provide pre-college counseling and advisement. </w:t>
      </w:r>
    </w:p>
    <w:p w:rsidR="004B0CAA" w:rsidRPr="004B0CAA" w:rsidRDefault="004B0CAA" w:rsidP="006778AC">
      <w:pPr>
        <w:numPr>
          <w:ilvl w:val="0"/>
          <w:numId w:val="9"/>
        </w:numPr>
        <w:spacing w:after="120" w:line="240" w:lineRule="auto"/>
      </w:pPr>
      <w:r w:rsidRPr="004B0CAA">
        <w:rPr>
          <w:color w:val="000000"/>
        </w:rPr>
        <w:t>Allowing students to take developmental and college level courses concurrently may accelerate course-taking in that subject area.</w:t>
      </w:r>
    </w:p>
    <w:p w:rsidR="006778AC" w:rsidRPr="005973F5" w:rsidRDefault="004B0CAA" w:rsidP="006778AC">
      <w:pPr>
        <w:numPr>
          <w:ilvl w:val="0"/>
          <w:numId w:val="9"/>
        </w:numPr>
        <w:spacing w:after="120" w:line="240" w:lineRule="auto"/>
        <w:rPr>
          <w:rStyle w:val="Strong"/>
          <w:b w:val="0"/>
          <w:bCs w:val="0"/>
        </w:rPr>
      </w:pPr>
      <w:r w:rsidRPr="004B0CAA">
        <w:rPr>
          <w:color w:val="000000"/>
        </w:rPr>
        <w:t>Recent statute defines a need for alternative delivery methods and a time line for articulating and researching new approaches. The same act calls for the implementation of learning models that are technology-driven.</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Style w:val="Strong"/>
          <w:rFonts w:asciiTheme="minorHAnsi" w:hAnsiTheme="minorHAnsi"/>
          <w:color w:val="000000"/>
          <w:sz w:val="22"/>
          <w:szCs w:val="22"/>
        </w:rPr>
        <w:t>Challenges</w:t>
      </w:r>
    </w:p>
    <w:p w:rsidR="004B0CAA" w:rsidRPr="004B0CAA" w:rsidRDefault="004B0CAA" w:rsidP="006778AC">
      <w:pPr>
        <w:numPr>
          <w:ilvl w:val="0"/>
          <w:numId w:val="10"/>
        </w:numPr>
        <w:spacing w:after="120" w:line="240" w:lineRule="auto"/>
      </w:pPr>
      <w:r w:rsidRPr="004B0CAA">
        <w:rPr>
          <w:color w:val="000000"/>
        </w:rPr>
        <w:t>The use of a standardized assessment as an exit exam may not measure the specific competencies learned or outlined in a developmental education course.</w:t>
      </w:r>
    </w:p>
    <w:p w:rsidR="004B0CAA" w:rsidRPr="004B0CAA" w:rsidRDefault="004B0CAA" w:rsidP="006778AC">
      <w:pPr>
        <w:numPr>
          <w:ilvl w:val="0"/>
          <w:numId w:val="10"/>
        </w:numPr>
        <w:spacing w:after="120" w:line="240" w:lineRule="auto"/>
      </w:pPr>
      <w:r w:rsidRPr="004B0CAA">
        <w:rPr>
          <w:color w:val="000000"/>
        </w:rPr>
        <w:t xml:space="preserve">It is unclear to what extent students take advantage of the co-enrollment option in English and to what degree they successfully complete concurrent courses. Recent legislation will allow students to co-enroll in other remedial and college courses, and </w:t>
      </w:r>
      <w:r w:rsidR="00CB11EC">
        <w:rPr>
          <w:color w:val="000000"/>
        </w:rPr>
        <w:t xml:space="preserve">they </w:t>
      </w:r>
      <w:r w:rsidRPr="004B0CAA">
        <w:rPr>
          <w:color w:val="000000"/>
        </w:rPr>
        <w:t>should be encouraged to do so.</w:t>
      </w:r>
    </w:p>
    <w:p w:rsidR="004B0CAA" w:rsidRPr="004B0CAA" w:rsidRDefault="004B0CAA" w:rsidP="006778AC">
      <w:pPr>
        <w:pStyle w:val="Heading2"/>
        <w:spacing w:before="0" w:beforeAutospacing="0" w:after="120" w:afterAutospacing="0"/>
        <w:rPr>
          <w:rFonts w:asciiTheme="minorHAnsi" w:hAnsiTheme="minorHAnsi"/>
          <w:sz w:val="22"/>
          <w:szCs w:val="22"/>
        </w:rPr>
      </w:pPr>
      <w:r w:rsidRPr="004B0CAA">
        <w:rPr>
          <w:rFonts w:asciiTheme="minorHAnsi" w:hAnsiTheme="minorHAnsi"/>
          <w:sz w:val="22"/>
          <w:szCs w:val="22"/>
        </w:rPr>
        <w:t>Policy Questions:</w:t>
      </w:r>
    </w:p>
    <w:p w:rsidR="004B0CAA" w:rsidRPr="004B0CAA" w:rsidRDefault="004B0CAA" w:rsidP="006778AC">
      <w:pPr>
        <w:numPr>
          <w:ilvl w:val="0"/>
          <w:numId w:val="11"/>
        </w:numPr>
        <w:spacing w:after="120" w:line="240" w:lineRule="auto"/>
      </w:pPr>
      <w:r w:rsidRPr="00726132">
        <w:t>Should policy articulate clearly the need for differentiated delivery models for students depending on their level of developmental placement?</w:t>
      </w:r>
    </w:p>
    <w:p w:rsidR="004B0CAA" w:rsidRPr="004B0CAA" w:rsidRDefault="004B0CAA" w:rsidP="006778AC">
      <w:pPr>
        <w:numPr>
          <w:ilvl w:val="0"/>
          <w:numId w:val="11"/>
        </w:numPr>
        <w:spacing w:after="120" w:line="240" w:lineRule="auto"/>
      </w:pPr>
      <w:r w:rsidRPr="00726132">
        <w:rPr>
          <w:color w:val="000000"/>
        </w:rPr>
        <w:t>Should there be clearly defined competencies that students must achieve in order to complete remedial education?</w:t>
      </w:r>
    </w:p>
    <w:p w:rsidR="004B0CAA" w:rsidRPr="004B0CAA" w:rsidRDefault="004B0CAA" w:rsidP="006778AC">
      <w:pPr>
        <w:numPr>
          <w:ilvl w:val="0"/>
          <w:numId w:val="11"/>
        </w:numPr>
        <w:spacing w:after="120" w:line="240" w:lineRule="auto"/>
      </w:pPr>
      <w:r w:rsidRPr="004B0CAA">
        <w:rPr>
          <w:color w:val="000000"/>
        </w:rPr>
        <w:t>Should you align adult basic education with remedial education programs?</w:t>
      </w:r>
    </w:p>
    <w:p w:rsidR="004B0CAA" w:rsidRPr="004B0CAA" w:rsidRDefault="004B0CAA" w:rsidP="006778AC">
      <w:pPr>
        <w:numPr>
          <w:ilvl w:val="0"/>
          <w:numId w:val="11"/>
        </w:numPr>
        <w:spacing w:after="120" w:line="240" w:lineRule="auto"/>
      </w:pPr>
      <w:r w:rsidRPr="004B0CAA">
        <w:rPr>
          <w:color w:val="000000"/>
        </w:rPr>
        <w:lastRenderedPageBreak/>
        <w:t>Should you require institutions to customize instruction to address specific student deficiencies?</w:t>
      </w:r>
    </w:p>
    <w:p w:rsidR="004B0CAA" w:rsidRPr="004B0CAA" w:rsidRDefault="004B0CAA" w:rsidP="006778AC">
      <w:pPr>
        <w:numPr>
          <w:ilvl w:val="0"/>
          <w:numId w:val="11"/>
        </w:numPr>
        <w:spacing w:after="120" w:line="240" w:lineRule="auto"/>
      </w:pPr>
      <w:r w:rsidRPr="004B0CAA">
        <w:rPr>
          <w:color w:val="000000"/>
        </w:rPr>
        <w:t>Should you only deliver instruction on the competencies required for a student to enter their desired academic program?</w:t>
      </w:r>
    </w:p>
    <w:p w:rsidR="004B0CAA" w:rsidRPr="00A07502" w:rsidRDefault="004B0CAA" w:rsidP="006778AC">
      <w:pPr>
        <w:pStyle w:val="Heading1"/>
        <w:spacing w:before="0" w:beforeAutospacing="0" w:after="120" w:afterAutospacing="0"/>
        <w:rPr>
          <w:rFonts w:asciiTheme="minorHAnsi" w:hAnsiTheme="minorHAnsi"/>
          <w:sz w:val="28"/>
          <w:szCs w:val="28"/>
        </w:rPr>
      </w:pPr>
      <w:r w:rsidRPr="00A07502">
        <w:rPr>
          <w:rFonts w:asciiTheme="minorHAnsi" w:hAnsiTheme="minorHAnsi"/>
          <w:sz w:val="28"/>
          <w:szCs w:val="28"/>
        </w:rPr>
        <w:t>Accountability and Continuous Improvement</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Fonts w:asciiTheme="minorHAnsi" w:hAnsiTheme="minorHAnsi"/>
          <w:sz w:val="22"/>
          <w:szCs w:val="22"/>
        </w:rPr>
        <w:t>The Arkansas legislature has focused primarily on assessment and placement policies. While descriptive data reporting is an indirect accountability structure that encourages institutional transparency, no direct policy mechanism exists to ensure robust program evaluation or improvement. Recent legislative action instructing the coordinating board to develop innovative approaches and pilot local assessments may provide the pre-implementation framework for creating accountability structures. Once new instructional models are implemented, evaluating remedial programming and mining for new student success data may provide the accountability mechanism required to evaluate developmental education in an intentional and holistic way.</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Fonts w:asciiTheme="minorHAnsi" w:hAnsiTheme="minorHAnsi"/>
          <w:sz w:val="22"/>
          <w:szCs w:val="22"/>
        </w:rPr>
        <w:t xml:space="preserve">In 2011, the Arkansas legislature passed </w:t>
      </w:r>
      <w:hyperlink r:id="rId29" w:tgtFrame="_self" w:history="1">
        <w:r w:rsidRPr="004B0CAA">
          <w:rPr>
            <w:rStyle w:val="Hyperlink"/>
            <w:rFonts w:asciiTheme="minorHAnsi" w:hAnsiTheme="minorHAnsi"/>
            <w:sz w:val="22"/>
            <w:szCs w:val="22"/>
          </w:rPr>
          <w:t>Senate Bill 766</w:t>
        </w:r>
      </w:hyperlink>
      <w:r w:rsidRPr="004B0CAA">
        <w:rPr>
          <w:rFonts w:asciiTheme="minorHAnsi" w:hAnsiTheme="minorHAnsi"/>
          <w:sz w:val="22"/>
          <w:szCs w:val="22"/>
        </w:rPr>
        <w:t xml:space="preserve"> that will require the Department of Higher Education to develop and phase-in a postsecondary funding formula consisting of needs-based and outcomes-based components. The latter component should aim to increase the progression, matriculation and graduation of all students enrolled in two-year colleges and universities.  Further, the funding model should address the quality of instruction and student learning, including remedial instruction.</w:t>
      </w:r>
    </w:p>
    <w:p w:rsidR="004B0CAA" w:rsidRPr="004B0CAA" w:rsidRDefault="004B0CAA" w:rsidP="006778AC">
      <w:pPr>
        <w:pStyle w:val="Heading2"/>
        <w:spacing w:before="0" w:beforeAutospacing="0" w:after="120" w:afterAutospacing="0"/>
        <w:rPr>
          <w:rFonts w:asciiTheme="minorHAnsi" w:hAnsiTheme="minorHAnsi"/>
          <w:sz w:val="22"/>
          <w:szCs w:val="22"/>
        </w:rPr>
      </w:pPr>
      <w:r w:rsidRPr="004B0CAA">
        <w:rPr>
          <w:rFonts w:asciiTheme="minorHAnsi" w:hAnsiTheme="minorHAnsi"/>
          <w:sz w:val="22"/>
          <w:szCs w:val="22"/>
        </w:rPr>
        <w:t>GPG Policy Database</w:t>
      </w:r>
    </w:p>
    <w:p w:rsidR="004B0CAA" w:rsidRPr="004B0CAA" w:rsidRDefault="006778AC" w:rsidP="006778AC">
      <w:pPr>
        <w:spacing w:after="120" w:line="240" w:lineRule="auto"/>
      </w:pPr>
      <w:r>
        <w:t xml:space="preserve">For a list of Accountability and Continuous Improvement Policies, please visit, </w:t>
      </w:r>
      <w:hyperlink r:id="rId30" w:history="1">
        <w:r w:rsidRPr="00CB11EC">
          <w:rPr>
            <w:rStyle w:val="Hyperlink"/>
            <w:sz w:val="20"/>
            <w:szCs w:val="20"/>
          </w:rPr>
          <w:t>http://gettingpastgo.socrata.com/Education/Arkansas-Accountability/xy5g-yge5</w:t>
        </w:r>
      </w:hyperlink>
    </w:p>
    <w:p w:rsidR="004B0CAA" w:rsidRPr="004B0CAA" w:rsidRDefault="004B0CAA" w:rsidP="006778AC">
      <w:pPr>
        <w:pStyle w:val="Heading2"/>
        <w:spacing w:before="0" w:beforeAutospacing="0" w:after="120" w:afterAutospacing="0"/>
        <w:rPr>
          <w:rFonts w:asciiTheme="minorHAnsi" w:hAnsiTheme="minorHAnsi"/>
          <w:sz w:val="22"/>
          <w:szCs w:val="22"/>
        </w:rPr>
      </w:pPr>
      <w:r w:rsidRPr="004B0CAA">
        <w:rPr>
          <w:rFonts w:asciiTheme="minorHAnsi" w:hAnsiTheme="minorHAnsi"/>
          <w:sz w:val="22"/>
          <w:szCs w:val="22"/>
        </w:rPr>
        <w:t>Strengths &amp; Challenges:</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Style w:val="Strong"/>
          <w:rFonts w:asciiTheme="minorHAnsi" w:hAnsiTheme="minorHAnsi"/>
          <w:sz w:val="22"/>
          <w:szCs w:val="22"/>
        </w:rPr>
        <w:t>Strengths</w:t>
      </w:r>
    </w:p>
    <w:p w:rsidR="004B0CAA" w:rsidRPr="004B0CAA" w:rsidRDefault="004B0CAA" w:rsidP="006778AC">
      <w:pPr>
        <w:numPr>
          <w:ilvl w:val="0"/>
          <w:numId w:val="12"/>
        </w:numPr>
        <w:spacing w:after="120" w:line="240" w:lineRule="auto"/>
      </w:pPr>
      <w:r w:rsidRPr="004B0CAA">
        <w:t>If implemented, new policy articulated to differentiate programming and collect evaluative data is a strong intermediate step toward creating an accountability structure</w:t>
      </w:r>
      <w:r w:rsidRPr="004B0CAA">
        <w:rPr>
          <w:rStyle w:val="Strong"/>
        </w:rPr>
        <w:t xml:space="preserve"> </w:t>
      </w:r>
    </w:p>
    <w:p w:rsidR="004B0CAA" w:rsidRPr="004B0CAA" w:rsidRDefault="004B0CAA" w:rsidP="006778AC">
      <w:pPr>
        <w:numPr>
          <w:ilvl w:val="0"/>
          <w:numId w:val="12"/>
        </w:numPr>
        <w:spacing w:after="120" w:line="240" w:lineRule="auto"/>
      </w:pPr>
      <w:r w:rsidRPr="004B0CAA">
        <w:t>Data collection apparatus already in place can be scaled up to include indicators of program, student success</w:t>
      </w:r>
      <w:r w:rsidRPr="004B0CAA">
        <w:rPr>
          <w:rStyle w:val="Strong"/>
        </w:rPr>
        <w:t xml:space="preserve"> </w:t>
      </w:r>
    </w:p>
    <w:p w:rsidR="004B0CAA" w:rsidRPr="004B0CAA" w:rsidRDefault="004B0CAA" w:rsidP="006778AC">
      <w:pPr>
        <w:numPr>
          <w:ilvl w:val="0"/>
          <w:numId w:val="12"/>
        </w:numPr>
        <w:spacing w:after="120" w:line="240" w:lineRule="auto"/>
      </w:pPr>
      <w:r w:rsidRPr="004B0CAA">
        <w:t>Postsecondary funding that will include needs-based and outcomes-based components could require accountability for success of remedial students.</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Style w:val="Strong"/>
          <w:rFonts w:asciiTheme="minorHAnsi" w:hAnsiTheme="minorHAnsi"/>
          <w:sz w:val="22"/>
          <w:szCs w:val="22"/>
        </w:rPr>
        <w:t>Challenges</w:t>
      </w:r>
    </w:p>
    <w:p w:rsidR="004B0CAA" w:rsidRPr="004B0CAA" w:rsidRDefault="004B0CAA" w:rsidP="006778AC">
      <w:pPr>
        <w:numPr>
          <w:ilvl w:val="0"/>
          <w:numId w:val="13"/>
        </w:numPr>
        <w:spacing w:after="120" w:line="240" w:lineRule="auto"/>
      </w:pPr>
      <w:r w:rsidRPr="004B0CAA">
        <w:t>Lack of formal accountability structures impede evaluation of program, student success</w:t>
      </w:r>
      <w:r w:rsidRPr="004B0CAA">
        <w:rPr>
          <w:rStyle w:val="Strong"/>
        </w:rPr>
        <w:t xml:space="preserve"> </w:t>
      </w:r>
    </w:p>
    <w:p w:rsidR="004B0CAA" w:rsidRPr="004B0CAA" w:rsidRDefault="004B0CAA" w:rsidP="006778AC">
      <w:pPr>
        <w:numPr>
          <w:ilvl w:val="0"/>
          <w:numId w:val="13"/>
        </w:numPr>
        <w:spacing w:after="120" w:line="240" w:lineRule="auto"/>
      </w:pPr>
      <w:r w:rsidRPr="004B0CAA">
        <w:t>Accountability and program improvements not in implementable stage</w:t>
      </w:r>
      <w:r w:rsidRPr="004B0CAA">
        <w:rPr>
          <w:rStyle w:val="Strong"/>
        </w:rPr>
        <w:t xml:space="preserve"> </w:t>
      </w:r>
    </w:p>
    <w:p w:rsidR="004B0CAA" w:rsidRPr="006941B5" w:rsidRDefault="004B0CAA" w:rsidP="006941B5">
      <w:pPr>
        <w:pStyle w:val="Heading2"/>
        <w:spacing w:before="0" w:beforeAutospacing="0" w:after="120" w:afterAutospacing="0"/>
        <w:rPr>
          <w:rFonts w:asciiTheme="minorHAnsi" w:hAnsiTheme="minorHAnsi"/>
          <w:sz w:val="22"/>
          <w:szCs w:val="22"/>
        </w:rPr>
      </w:pPr>
      <w:r w:rsidRPr="004B0CAA">
        <w:rPr>
          <w:rFonts w:asciiTheme="minorHAnsi" w:hAnsiTheme="minorHAnsi"/>
          <w:sz w:val="22"/>
          <w:szCs w:val="22"/>
        </w:rPr>
        <w:t>Policy Questions:</w:t>
      </w:r>
    </w:p>
    <w:p w:rsidR="004B0CAA" w:rsidRPr="004B0CAA" w:rsidRDefault="004B0CAA" w:rsidP="006778AC">
      <w:pPr>
        <w:numPr>
          <w:ilvl w:val="0"/>
          <w:numId w:val="14"/>
        </w:numPr>
        <w:spacing w:after="120" w:line="240" w:lineRule="auto"/>
      </w:pPr>
      <w:r w:rsidRPr="006778AC">
        <w:t>Should you require institutions to submit implementation plans for remedial education?</w:t>
      </w:r>
    </w:p>
    <w:p w:rsidR="004B0CAA" w:rsidRPr="004B0CAA" w:rsidRDefault="004B0CAA" w:rsidP="006778AC">
      <w:pPr>
        <w:numPr>
          <w:ilvl w:val="0"/>
          <w:numId w:val="14"/>
        </w:numPr>
        <w:spacing w:after="120" w:line="240" w:lineRule="auto"/>
      </w:pPr>
      <w:r w:rsidRPr="006778AC">
        <w:t>Should your system or state measures of effectiveness include remedial education indicators?</w:t>
      </w:r>
    </w:p>
    <w:p w:rsidR="004B0CAA" w:rsidRPr="004B0CAA" w:rsidRDefault="004B0CAA" w:rsidP="006778AC">
      <w:pPr>
        <w:numPr>
          <w:ilvl w:val="0"/>
          <w:numId w:val="14"/>
        </w:numPr>
        <w:spacing w:after="120" w:line="240" w:lineRule="auto"/>
      </w:pPr>
      <w:r w:rsidRPr="006778AC">
        <w:t>Should you require campuses to reform the delivery of remedial education if they don’t achieve system or state benchmarks?</w:t>
      </w:r>
    </w:p>
    <w:p w:rsidR="004B0CAA" w:rsidRPr="006778AC" w:rsidRDefault="004B0CAA" w:rsidP="006778AC">
      <w:pPr>
        <w:pStyle w:val="Heading1"/>
        <w:spacing w:before="0" w:beforeAutospacing="0" w:after="120" w:afterAutospacing="0"/>
        <w:rPr>
          <w:rFonts w:asciiTheme="minorHAnsi" w:hAnsiTheme="minorHAnsi"/>
          <w:sz w:val="28"/>
          <w:szCs w:val="28"/>
        </w:rPr>
      </w:pPr>
      <w:r w:rsidRPr="006778AC">
        <w:rPr>
          <w:rFonts w:asciiTheme="minorHAnsi" w:hAnsiTheme="minorHAnsi"/>
          <w:sz w:val="28"/>
          <w:szCs w:val="28"/>
        </w:rPr>
        <w:t>Data and Reporting</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Fonts w:asciiTheme="minorHAnsi" w:hAnsiTheme="minorHAnsi"/>
          <w:sz w:val="22"/>
          <w:szCs w:val="22"/>
        </w:rPr>
        <w:t xml:space="preserve">In 2009, Arkansas consolidated several legislatively required reports pertaining to postsecondary education into the Comprehensive Arkansas Higher Education Report. Within the comprehensive document are two reports that include remedial education data, which has been collected since 1997-98. One report provides information on student participation in and completion of remedial courses; a second report includes data on </w:t>
      </w:r>
      <w:r w:rsidRPr="004B0CAA">
        <w:rPr>
          <w:rFonts w:asciiTheme="minorHAnsi" w:hAnsiTheme="minorHAnsi"/>
          <w:sz w:val="22"/>
          <w:szCs w:val="22"/>
        </w:rPr>
        <w:lastRenderedPageBreak/>
        <w:t>remedial education expenditures. A separate 2007 report was produced based on the work of a task force on higher education goals for success and includes a section on remediation.</w:t>
      </w:r>
    </w:p>
    <w:p w:rsidR="004B0CAA" w:rsidRPr="004B0CAA" w:rsidRDefault="00F5298C" w:rsidP="006778AC">
      <w:pPr>
        <w:pStyle w:val="NormalWeb"/>
        <w:spacing w:before="0" w:beforeAutospacing="0" w:after="120" w:afterAutospacing="0"/>
        <w:rPr>
          <w:rFonts w:asciiTheme="minorHAnsi" w:hAnsiTheme="minorHAnsi"/>
          <w:sz w:val="22"/>
          <w:szCs w:val="22"/>
        </w:rPr>
      </w:pPr>
      <w:hyperlink r:id="rId31" w:tgtFrame="_self" w:history="1">
        <w:r w:rsidR="004B0CAA" w:rsidRPr="004B0CAA">
          <w:rPr>
            <w:rStyle w:val="Hyperlink"/>
            <w:rFonts w:asciiTheme="minorHAnsi" w:hAnsiTheme="minorHAnsi"/>
            <w:sz w:val="22"/>
            <w:szCs w:val="22"/>
          </w:rPr>
          <w:t>House Bill 1454</w:t>
        </w:r>
      </w:hyperlink>
      <w:r w:rsidR="004B0CAA" w:rsidRPr="004B0CAA">
        <w:rPr>
          <w:rFonts w:asciiTheme="minorHAnsi" w:hAnsiTheme="minorHAnsi"/>
          <w:sz w:val="22"/>
          <w:szCs w:val="22"/>
        </w:rPr>
        <w:t>, enacted in 2011, directs the Arkansas Department of Higher Education to include annual remediation rates – instead of updates each even-numbered year – in their comprehensive report. In addition, the report soon will provide more detailed, annual information than is currently required on remedial education costs for each state-supported institution.</w:t>
      </w:r>
    </w:p>
    <w:p w:rsidR="004B0CAA" w:rsidRPr="004B0CAA" w:rsidRDefault="00F5298C" w:rsidP="006778AC">
      <w:pPr>
        <w:pStyle w:val="NormalWeb"/>
        <w:spacing w:before="0" w:beforeAutospacing="0" w:after="120" w:afterAutospacing="0"/>
        <w:rPr>
          <w:rFonts w:asciiTheme="minorHAnsi" w:hAnsiTheme="minorHAnsi"/>
          <w:sz w:val="22"/>
          <w:szCs w:val="22"/>
        </w:rPr>
      </w:pPr>
      <w:hyperlink r:id="rId32" w:tgtFrame="_blank" w:tooltip="Access to Success" w:history="1">
        <w:r w:rsidR="004B0CAA" w:rsidRPr="004B0CAA">
          <w:rPr>
            <w:rStyle w:val="Emphasis"/>
            <w:rFonts w:asciiTheme="minorHAnsi" w:hAnsiTheme="minorHAnsi"/>
            <w:b/>
            <w:bCs/>
            <w:color w:val="0000FF"/>
            <w:sz w:val="22"/>
            <w:szCs w:val="22"/>
            <w:u w:val="single"/>
          </w:rPr>
          <w:t xml:space="preserve">Access to Success: Increasing Arkansas’ College Graduates Promotes Economic </w:t>
        </w:r>
        <w:proofErr w:type="gramStart"/>
        <w:r w:rsidR="004B0CAA" w:rsidRPr="004B0CAA">
          <w:rPr>
            <w:rStyle w:val="Emphasis"/>
            <w:rFonts w:asciiTheme="minorHAnsi" w:hAnsiTheme="minorHAnsi"/>
            <w:b/>
            <w:bCs/>
            <w:color w:val="0000FF"/>
            <w:sz w:val="22"/>
            <w:szCs w:val="22"/>
            <w:u w:val="single"/>
          </w:rPr>
          <w:t>Development</w:t>
        </w:r>
        <w:proofErr w:type="gramEnd"/>
      </w:hyperlink>
      <w:r w:rsidR="004B0CAA" w:rsidRPr="004B0CAA">
        <w:rPr>
          <w:rFonts w:asciiTheme="minorHAnsi" w:hAnsiTheme="minorHAnsi"/>
          <w:sz w:val="22"/>
          <w:szCs w:val="22"/>
        </w:rPr>
        <w:br/>
        <w:t>(Arkansas Legislative Task Force on Higher Education Remediation, Retention, and Graduation Rates, 2007)</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Style w:val="Strong"/>
          <w:rFonts w:asciiTheme="minorHAnsi" w:hAnsiTheme="minorHAnsi"/>
          <w:sz w:val="22"/>
          <w:szCs w:val="22"/>
        </w:rPr>
        <w:t>Remedial population tracked:</w:t>
      </w:r>
      <w:r w:rsidRPr="004B0CAA">
        <w:rPr>
          <w:rFonts w:asciiTheme="minorHAnsi" w:hAnsiTheme="minorHAnsi"/>
          <w:sz w:val="22"/>
          <w:szCs w:val="22"/>
        </w:rPr>
        <w:t xml:space="preserve"> First-time students</w:t>
      </w:r>
    </w:p>
    <w:p w:rsidR="006778AC" w:rsidRDefault="004B0CAA" w:rsidP="006778AC">
      <w:pPr>
        <w:pStyle w:val="NormalWeb"/>
        <w:spacing w:before="0" w:beforeAutospacing="0" w:after="120" w:afterAutospacing="0"/>
        <w:rPr>
          <w:rStyle w:val="Strong"/>
          <w:rFonts w:asciiTheme="minorHAnsi" w:hAnsiTheme="minorHAnsi"/>
          <w:sz w:val="22"/>
          <w:szCs w:val="22"/>
        </w:rPr>
      </w:pPr>
      <w:r w:rsidRPr="004B0CAA">
        <w:rPr>
          <w:rStyle w:val="Strong"/>
          <w:rFonts w:asciiTheme="minorHAnsi" w:hAnsiTheme="minorHAnsi"/>
          <w:sz w:val="22"/>
          <w:szCs w:val="22"/>
        </w:rPr>
        <w:t>Institutions included:</w:t>
      </w:r>
      <w:r w:rsidRPr="004B0CAA">
        <w:rPr>
          <w:rFonts w:asciiTheme="minorHAnsi" w:hAnsiTheme="minorHAnsi"/>
          <w:sz w:val="22"/>
          <w:szCs w:val="22"/>
        </w:rPr>
        <w:t xml:space="preserve"> Four-year and two-year institutions</w:t>
      </w:r>
    </w:p>
    <w:p w:rsidR="004B0CAA" w:rsidRPr="006778AC" w:rsidRDefault="004B0CAA" w:rsidP="006778AC">
      <w:pPr>
        <w:pStyle w:val="NormalWeb"/>
        <w:spacing w:before="0" w:beforeAutospacing="0" w:after="120" w:afterAutospacing="0"/>
        <w:rPr>
          <w:rFonts w:asciiTheme="minorHAnsi" w:hAnsiTheme="minorHAnsi"/>
          <w:b/>
          <w:bCs/>
          <w:sz w:val="22"/>
          <w:szCs w:val="22"/>
        </w:rPr>
      </w:pPr>
      <w:r w:rsidRPr="004B0CAA">
        <w:rPr>
          <w:rStyle w:val="Strong"/>
          <w:rFonts w:asciiTheme="minorHAnsi" w:hAnsiTheme="minorHAnsi"/>
          <w:sz w:val="22"/>
          <w:szCs w:val="22"/>
        </w:rPr>
        <w:t>Participation:</w:t>
      </w:r>
    </w:p>
    <w:p w:rsidR="004B0CAA" w:rsidRPr="004B0CAA" w:rsidRDefault="004B0CAA" w:rsidP="006778AC">
      <w:pPr>
        <w:numPr>
          <w:ilvl w:val="0"/>
          <w:numId w:val="15"/>
        </w:numPr>
        <w:spacing w:after="120" w:line="240" w:lineRule="auto"/>
      </w:pPr>
      <w:r w:rsidRPr="004B0CAA">
        <w:t>Percent of students enrolled in remedial courses</w:t>
      </w:r>
    </w:p>
    <w:p w:rsidR="004B0CAA" w:rsidRPr="004B0CAA" w:rsidRDefault="004B0CAA" w:rsidP="006778AC">
      <w:pPr>
        <w:numPr>
          <w:ilvl w:val="0"/>
          <w:numId w:val="15"/>
        </w:numPr>
        <w:spacing w:after="120" w:line="240" w:lineRule="auto"/>
      </w:pPr>
      <w:r w:rsidRPr="004B0CAA">
        <w:t>Percent of students enrolled in remedial courses by subject (English, math and reading)</w:t>
      </w:r>
    </w:p>
    <w:p w:rsidR="004B0CAA" w:rsidRPr="004B0CAA" w:rsidRDefault="004B0CAA" w:rsidP="006778AC">
      <w:pPr>
        <w:numPr>
          <w:ilvl w:val="0"/>
          <w:numId w:val="15"/>
        </w:numPr>
        <w:spacing w:after="120" w:line="240" w:lineRule="auto"/>
      </w:pPr>
      <w:r w:rsidRPr="004B0CAA">
        <w:t>Preparation level of remedial students – those who took Advanced Placement (AP) courses in high school</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Style w:val="Strong"/>
          <w:rFonts w:asciiTheme="minorHAnsi" w:hAnsiTheme="minorHAnsi"/>
          <w:sz w:val="22"/>
          <w:szCs w:val="22"/>
        </w:rPr>
        <w:t xml:space="preserve">Cost of remediation: </w:t>
      </w:r>
      <w:r w:rsidRPr="004B0CAA">
        <w:rPr>
          <w:rFonts w:asciiTheme="minorHAnsi" w:hAnsiTheme="minorHAnsi"/>
          <w:sz w:val="22"/>
          <w:szCs w:val="22"/>
        </w:rPr>
        <w:t>General expenditures for the state</w:t>
      </w:r>
    </w:p>
    <w:p w:rsidR="004B0CAA" w:rsidRPr="004B0CAA" w:rsidRDefault="00F5298C" w:rsidP="006778AC">
      <w:pPr>
        <w:pStyle w:val="NormalWeb"/>
        <w:spacing w:before="0" w:beforeAutospacing="0" w:after="120" w:afterAutospacing="0"/>
        <w:rPr>
          <w:rFonts w:asciiTheme="minorHAnsi" w:hAnsiTheme="minorHAnsi"/>
          <w:sz w:val="22"/>
          <w:szCs w:val="22"/>
        </w:rPr>
      </w:pPr>
      <w:hyperlink r:id="rId33" w:tgtFrame="_blank" w:tooltip="Comprehensive Arkansas" w:history="1">
        <w:r w:rsidR="004B0CAA" w:rsidRPr="004B0CAA">
          <w:rPr>
            <w:rStyle w:val="Emphasis"/>
            <w:rFonts w:asciiTheme="minorHAnsi" w:hAnsiTheme="minorHAnsi"/>
            <w:b/>
            <w:bCs/>
            <w:color w:val="0000FF"/>
            <w:sz w:val="22"/>
            <w:szCs w:val="22"/>
            <w:u w:val="single"/>
          </w:rPr>
          <w:t>Comprehensive Arkansas Higher Education Annual Report, 2009</w:t>
        </w:r>
      </w:hyperlink>
      <w:r w:rsidR="004B0CAA" w:rsidRPr="004B0CAA">
        <w:rPr>
          <w:rFonts w:asciiTheme="minorHAnsi" w:hAnsiTheme="minorHAnsi"/>
          <w:sz w:val="22"/>
          <w:szCs w:val="22"/>
        </w:rPr>
        <w:br/>
        <w:t>(Arkansas Department of Higher Education, 2009)</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Fonts w:asciiTheme="minorHAnsi" w:hAnsiTheme="minorHAnsi"/>
          <w:sz w:val="22"/>
          <w:szCs w:val="22"/>
        </w:rPr>
        <w:t>The comprehensive report includes the following sections with remedial education data:</w:t>
      </w:r>
    </w:p>
    <w:p w:rsidR="004B0CAA" w:rsidRPr="004B0CAA" w:rsidRDefault="00F5298C" w:rsidP="006778AC">
      <w:pPr>
        <w:pStyle w:val="NormalWeb"/>
        <w:spacing w:before="0" w:beforeAutospacing="0" w:after="120" w:afterAutospacing="0"/>
        <w:rPr>
          <w:rFonts w:asciiTheme="minorHAnsi" w:hAnsiTheme="minorHAnsi"/>
          <w:sz w:val="22"/>
          <w:szCs w:val="22"/>
        </w:rPr>
      </w:pPr>
      <w:hyperlink r:id="rId34" w:tgtFrame="_blank" w:tooltip="Annual Report" w:history="1">
        <w:r w:rsidR="004B0CAA" w:rsidRPr="004B0CAA">
          <w:rPr>
            <w:rStyle w:val="Emphasis"/>
            <w:rFonts w:asciiTheme="minorHAnsi" w:hAnsiTheme="minorHAnsi"/>
            <w:b/>
            <w:bCs/>
            <w:color w:val="0000FF"/>
            <w:sz w:val="22"/>
            <w:szCs w:val="22"/>
            <w:u w:val="single"/>
          </w:rPr>
          <w:t>Annual Report of First-year Student Remediation, 2008</w:t>
        </w:r>
      </w:hyperlink>
      <w:r w:rsidR="004B0CAA" w:rsidRPr="004B0CAA">
        <w:rPr>
          <w:rFonts w:asciiTheme="minorHAnsi" w:hAnsiTheme="minorHAnsi"/>
          <w:sz w:val="22"/>
          <w:szCs w:val="22"/>
        </w:rPr>
        <w:br/>
        <w:t>(Arkansas Higher Education Coordinating Board, 2009)</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Fonts w:asciiTheme="minorHAnsi" w:hAnsiTheme="minorHAnsi"/>
          <w:sz w:val="22"/>
          <w:szCs w:val="22"/>
        </w:rPr>
        <w:t>Note: This report now is part of the Comprehensive Arkansas Higher Education Report. Previous editions included data on remedial participation in specific subjects; number of subjects; and by gender, age, enrollment status and ethnicity.</w:t>
      </w:r>
    </w:p>
    <w:p w:rsidR="008C0098" w:rsidRDefault="004B0CAA" w:rsidP="006778AC">
      <w:pPr>
        <w:pStyle w:val="NormalWeb"/>
        <w:spacing w:before="0" w:beforeAutospacing="0" w:after="120" w:afterAutospacing="0"/>
        <w:rPr>
          <w:rStyle w:val="Strong"/>
          <w:rFonts w:asciiTheme="minorHAnsi" w:hAnsiTheme="minorHAnsi"/>
          <w:sz w:val="22"/>
          <w:szCs w:val="22"/>
        </w:rPr>
      </w:pPr>
      <w:r w:rsidRPr="004B0CAA">
        <w:rPr>
          <w:rStyle w:val="Strong"/>
          <w:rFonts w:asciiTheme="minorHAnsi" w:hAnsiTheme="minorHAnsi"/>
          <w:sz w:val="22"/>
          <w:szCs w:val="22"/>
        </w:rPr>
        <w:t xml:space="preserve">Remedial population tracked: </w:t>
      </w:r>
      <w:r w:rsidRPr="004B0CAA">
        <w:rPr>
          <w:rFonts w:asciiTheme="minorHAnsi" w:hAnsiTheme="minorHAnsi"/>
          <w:sz w:val="22"/>
          <w:szCs w:val="22"/>
        </w:rPr>
        <w:t>State high school graduates (two years after graduation)</w:t>
      </w:r>
    </w:p>
    <w:p w:rsidR="006778AC" w:rsidRDefault="004B0CAA" w:rsidP="006778AC">
      <w:pPr>
        <w:pStyle w:val="NormalWeb"/>
        <w:spacing w:before="0" w:beforeAutospacing="0" w:after="120" w:afterAutospacing="0"/>
        <w:rPr>
          <w:rStyle w:val="Strong"/>
          <w:rFonts w:asciiTheme="minorHAnsi" w:hAnsiTheme="minorHAnsi"/>
          <w:sz w:val="22"/>
          <w:szCs w:val="22"/>
        </w:rPr>
      </w:pPr>
      <w:r w:rsidRPr="004B0CAA">
        <w:rPr>
          <w:rStyle w:val="Strong"/>
          <w:rFonts w:asciiTheme="minorHAnsi" w:hAnsiTheme="minorHAnsi"/>
          <w:sz w:val="22"/>
          <w:szCs w:val="22"/>
        </w:rPr>
        <w:t xml:space="preserve">Institutions included: </w:t>
      </w:r>
      <w:r w:rsidRPr="004B0CAA">
        <w:rPr>
          <w:rFonts w:asciiTheme="minorHAnsi" w:hAnsiTheme="minorHAnsi"/>
          <w:sz w:val="22"/>
          <w:szCs w:val="22"/>
        </w:rPr>
        <w:t>Four-year and two-year institutions</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Style w:val="Strong"/>
          <w:rFonts w:asciiTheme="minorHAnsi" w:hAnsiTheme="minorHAnsi"/>
          <w:sz w:val="22"/>
          <w:szCs w:val="22"/>
        </w:rPr>
        <w:t>Participation:</w:t>
      </w:r>
    </w:p>
    <w:p w:rsidR="004B0CAA" w:rsidRPr="004B0CAA" w:rsidRDefault="004B0CAA" w:rsidP="006778AC">
      <w:pPr>
        <w:numPr>
          <w:ilvl w:val="0"/>
          <w:numId w:val="16"/>
        </w:numPr>
        <w:spacing w:after="120" w:line="240" w:lineRule="auto"/>
      </w:pPr>
      <w:r w:rsidRPr="004B0CAA">
        <w:t>Percent and number of state high school graduates requiring remedial education</w:t>
      </w:r>
    </w:p>
    <w:p w:rsidR="004B0CAA" w:rsidRPr="004B0CAA" w:rsidRDefault="004B0CAA" w:rsidP="006778AC">
      <w:pPr>
        <w:numPr>
          <w:ilvl w:val="0"/>
          <w:numId w:val="16"/>
        </w:numPr>
        <w:spacing w:after="120" w:line="240" w:lineRule="auto"/>
      </w:pPr>
      <w:r w:rsidRPr="004B0CAA">
        <w:t>Preparation level of students – percent and number of students requiring remediation who graduated from a state high school with a GPA of 3.0 or higher</w:t>
      </w:r>
    </w:p>
    <w:p w:rsidR="004B0CAA" w:rsidRPr="004B0CAA" w:rsidRDefault="004B0CAA" w:rsidP="006778AC">
      <w:pPr>
        <w:numPr>
          <w:ilvl w:val="0"/>
          <w:numId w:val="16"/>
        </w:numPr>
        <w:spacing w:after="120" w:line="240" w:lineRule="auto"/>
      </w:pPr>
      <w:r w:rsidRPr="004B0CAA">
        <w:t>Individual high schools and/or district feedback – number and percent of state graduates requiring remediation; number of degree seekers; number of college placement test takers</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Style w:val="Strong"/>
          <w:rFonts w:asciiTheme="minorHAnsi" w:hAnsiTheme="minorHAnsi"/>
          <w:sz w:val="22"/>
          <w:szCs w:val="22"/>
        </w:rPr>
        <w:t>Success indicators:</w:t>
      </w:r>
      <w:r w:rsidRPr="004B0CAA">
        <w:rPr>
          <w:rFonts w:asciiTheme="minorHAnsi" w:hAnsiTheme="minorHAnsi"/>
          <w:sz w:val="22"/>
          <w:szCs w:val="22"/>
        </w:rPr>
        <w:t xml:space="preserve"> Number of attempts it takes students (number and percent) to pass the same remedial course</w:t>
      </w:r>
    </w:p>
    <w:p w:rsidR="004B0CAA" w:rsidRPr="004B0CAA" w:rsidRDefault="00F5298C" w:rsidP="006778AC">
      <w:pPr>
        <w:pStyle w:val="NormalWeb"/>
        <w:spacing w:before="0" w:beforeAutospacing="0" w:after="120" w:afterAutospacing="0"/>
        <w:rPr>
          <w:rFonts w:asciiTheme="minorHAnsi" w:hAnsiTheme="minorHAnsi"/>
          <w:sz w:val="22"/>
          <w:szCs w:val="22"/>
        </w:rPr>
      </w:pPr>
      <w:hyperlink r:id="rId35" w:tooltip="Academic Cost" w:history="1">
        <w:r w:rsidR="004B0CAA" w:rsidRPr="004B0CAA">
          <w:rPr>
            <w:rStyle w:val="Emphasis"/>
            <w:rFonts w:asciiTheme="minorHAnsi" w:hAnsiTheme="minorHAnsi"/>
            <w:b/>
            <w:bCs/>
            <w:color w:val="0000FF"/>
            <w:sz w:val="22"/>
            <w:szCs w:val="22"/>
            <w:u w:val="single"/>
          </w:rPr>
          <w:t>Arkansas Academic Cost Accounting System: A Strategic Management Tool for Higher Education</w:t>
        </w:r>
      </w:hyperlink>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Style w:val="Emphasis"/>
          <w:rFonts w:asciiTheme="minorHAnsi" w:hAnsiTheme="minorHAnsi"/>
          <w:b/>
          <w:bCs/>
          <w:sz w:val="22"/>
          <w:szCs w:val="22"/>
        </w:rPr>
        <w:t>Planning and Campus Decision-</w:t>
      </w:r>
      <w:proofErr w:type="gramStart"/>
      <w:r w:rsidRPr="004B0CAA">
        <w:rPr>
          <w:rStyle w:val="Emphasis"/>
          <w:rFonts w:asciiTheme="minorHAnsi" w:hAnsiTheme="minorHAnsi"/>
          <w:b/>
          <w:bCs/>
          <w:sz w:val="22"/>
          <w:szCs w:val="22"/>
        </w:rPr>
        <w:t>Making</w:t>
      </w:r>
      <w:proofErr w:type="gramEnd"/>
      <w:r w:rsidRPr="004B0CAA">
        <w:rPr>
          <w:rFonts w:asciiTheme="minorHAnsi" w:hAnsiTheme="minorHAnsi"/>
          <w:sz w:val="22"/>
          <w:szCs w:val="22"/>
        </w:rPr>
        <w:br/>
        <w:t>(Arkansas Department of Higher Education, 2008)</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Style w:val="Strong"/>
          <w:rFonts w:asciiTheme="minorHAnsi" w:hAnsiTheme="minorHAnsi"/>
          <w:sz w:val="22"/>
          <w:szCs w:val="22"/>
        </w:rPr>
        <w:t>Cost of remediation:</w:t>
      </w:r>
      <w:r w:rsidRPr="004B0CAA">
        <w:rPr>
          <w:rFonts w:asciiTheme="minorHAnsi" w:hAnsiTheme="minorHAnsi"/>
          <w:sz w:val="22"/>
          <w:szCs w:val="22"/>
        </w:rPr>
        <w:t xml:space="preserve"> Statewide and individual institution summary financial data for the following:</w:t>
      </w:r>
    </w:p>
    <w:p w:rsidR="004B0CAA" w:rsidRPr="004B0CAA" w:rsidRDefault="004B0CAA" w:rsidP="006778AC">
      <w:pPr>
        <w:numPr>
          <w:ilvl w:val="0"/>
          <w:numId w:val="17"/>
        </w:numPr>
        <w:spacing w:after="120" w:line="240" w:lineRule="auto"/>
      </w:pPr>
      <w:r w:rsidRPr="004B0CAA">
        <w:t>Total revenue and total expenditures</w:t>
      </w:r>
    </w:p>
    <w:p w:rsidR="004B0CAA" w:rsidRPr="004B0CAA" w:rsidRDefault="004B0CAA" w:rsidP="006778AC">
      <w:pPr>
        <w:numPr>
          <w:ilvl w:val="0"/>
          <w:numId w:val="17"/>
        </w:numPr>
        <w:spacing w:after="120" w:line="240" w:lineRule="auto"/>
      </w:pPr>
      <w:r w:rsidRPr="004B0CAA">
        <w:lastRenderedPageBreak/>
        <w:t>General revenue subsidy for remediation</w:t>
      </w:r>
    </w:p>
    <w:p w:rsidR="004B0CAA" w:rsidRPr="004B0CAA" w:rsidRDefault="004B0CAA" w:rsidP="006778AC">
      <w:pPr>
        <w:numPr>
          <w:ilvl w:val="0"/>
          <w:numId w:val="17"/>
        </w:numPr>
        <w:spacing w:after="120" w:line="240" w:lineRule="auto"/>
      </w:pPr>
      <w:r w:rsidRPr="004B0CAA">
        <w:t>General revenue subsidy for remediation as a percentage of total expenditures</w:t>
      </w:r>
    </w:p>
    <w:p w:rsidR="004B0CAA" w:rsidRPr="004B0CAA" w:rsidRDefault="004B0CAA" w:rsidP="006778AC">
      <w:pPr>
        <w:numPr>
          <w:ilvl w:val="0"/>
          <w:numId w:val="17"/>
        </w:numPr>
        <w:spacing w:after="120" w:line="240" w:lineRule="auto"/>
      </w:pPr>
      <w:r w:rsidRPr="004B0CAA">
        <w:t>Totals and subtotals for four-year institutions and two-year institutions.</w:t>
      </w:r>
    </w:p>
    <w:p w:rsidR="004B0CAA" w:rsidRPr="004B0CAA" w:rsidRDefault="004B0CAA" w:rsidP="006778AC">
      <w:pPr>
        <w:pStyle w:val="Heading2"/>
        <w:spacing w:before="0" w:beforeAutospacing="0" w:after="120" w:afterAutospacing="0"/>
        <w:rPr>
          <w:rFonts w:asciiTheme="minorHAnsi" w:hAnsiTheme="minorHAnsi"/>
          <w:sz w:val="22"/>
          <w:szCs w:val="22"/>
        </w:rPr>
      </w:pPr>
      <w:r w:rsidRPr="004B0CAA">
        <w:rPr>
          <w:rFonts w:asciiTheme="minorHAnsi" w:hAnsiTheme="minorHAnsi"/>
          <w:sz w:val="22"/>
          <w:szCs w:val="22"/>
        </w:rPr>
        <w:t>GPG Policy Database</w:t>
      </w:r>
    </w:p>
    <w:p w:rsidR="004B0CAA" w:rsidRPr="004B0CAA" w:rsidRDefault="006778AC" w:rsidP="006778AC">
      <w:pPr>
        <w:spacing w:after="120" w:line="240" w:lineRule="auto"/>
      </w:pPr>
      <w:r>
        <w:t xml:space="preserve">For a list of Data &amp; Reporting Policies, please visit </w:t>
      </w:r>
      <w:hyperlink r:id="rId36" w:history="1">
        <w:r w:rsidRPr="00150CEB">
          <w:rPr>
            <w:rStyle w:val="Hyperlink"/>
          </w:rPr>
          <w:t>http://gettingpastgo.socrata.com/Education/Arkansas-Remedial-Reports/xfpb-29j2</w:t>
        </w:r>
      </w:hyperlink>
      <w:r>
        <w:t>.</w:t>
      </w:r>
    </w:p>
    <w:p w:rsidR="004B0CAA" w:rsidRPr="004B0CAA" w:rsidRDefault="004B0CAA" w:rsidP="006778AC">
      <w:pPr>
        <w:pStyle w:val="Heading2"/>
        <w:spacing w:before="0" w:beforeAutospacing="0" w:after="120" w:afterAutospacing="0"/>
        <w:rPr>
          <w:rFonts w:asciiTheme="minorHAnsi" w:hAnsiTheme="minorHAnsi"/>
          <w:sz w:val="22"/>
          <w:szCs w:val="22"/>
        </w:rPr>
      </w:pPr>
      <w:r w:rsidRPr="004B0CAA">
        <w:rPr>
          <w:rFonts w:asciiTheme="minorHAnsi" w:hAnsiTheme="minorHAnsi"/>
          <w:sz w:val="22"/>
          <w:szCs w:val="22"/>
        </w:rPr>
        <w:t>Strengths &amp; Challenges:</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Style w:val="Strong"/>
          <w:rFonts w:asciiTheme="minorHAnsi" w:hAnsiTheme="minorHAnsi"/>
          <w:sz w:val="22"/>
          <w:szCs w:val="22"/>
        </w:rPr>
        <w:t>Strengths</w:t>
      </w:r>
    </w:p>
    <w:p w:rsidR="004B0CAA" w:rsidRPr="004B0CAA" w:rsidRDefault="004B0CAA" w:rsidP="006778AC">
      <w:pPr>
        <w:numPr>
          <w:ilvl w:val="0"/>
          <w:numId w:val="18"/>
        </w:numPr>
        <w:spacing w:after="120" w:line="240" w:lineRule="auto"/>
      </w:pPr>
      <w:r w:rsidRPr="004B0CAA">
        <w:t>Tracking all institutions provides clear picture of how all institutions are involved in remediation.</w:t>
      </w:r>
    </w:p>
    <w:p w:rsidR="004B0CAA" w:rsidRPr="004B0CAA" w:rsidRDefault="004B0CAA" w:rsidP="006778AC">
      <w:pPr>
        <w:numPr>
          <w:ilvl w:val="0"/>
          <w:numId w:val="18"/>
        </w:numPr>
        <w:spacing w:after="120" w:line="240" w:lineRule="auto"/>
      </w:pPr>
      <w:r w:rsidRPr="004B0CAA">
        <w:t>Tracking all first time students, plus disaggregation by age, ethnicity and gender provides comprehensive view of who is enrolled in remedial education.</w:t>
      </w:r>
    </w:p>
    <w:p w:rsidR="004B0CAA" w:rsidRPr="004B0CAA" w:rsidRDefault="004B0CAA" w:rsidP="006778AC">
      <w:pPr>
        <w:numPr>
          <w:ilvl w:val="0"/>
          <w:numId w:val="18"/>
        </w:numPr>
        <w:spacing w:after="120" w:line="240" w:lineRule="auto"/>
      </w:pPr>
      <w:r w:rsidRPr="004B0CAA">
        <w:t>Trend data allows tracking of remedial education enterprise over time.</w:t>
      </w:r>
    </w:p>
    <w:p w:rsidR="004B0CAA" w:rsidRPr="004B0CAA" w:rsidRDefault="004B0CAA" w:rsidP="006778AC">
      <w:pPr>
        <w:numPr>
          <w:ilvl w:val="0"/>
          <w:numId w:val="18"/>
        </w:numPr>
        <w:spacing w:after="120" w:line="240" w:lineRule="auto"/>
      </w:pPr>
      <w:r w:rsidRPr="004B0CAA">
        <w:t>Annual cost report clearly articulates its purpose to include research questions.</w:t>
      </w:r>
    </w:p>
    <w:p w:rsidR="004B0CAA" w:rsidRPr="004B0CAA" w:rsidRDefault="004B0CAA" w:rsidP="006778AC">
      <w:pPr>
        <w:numPr>
          <w:ilvl w:val="0"/>
          <w:numId w:val="18"/>
        </w:numPr>
        <w:spacing w:after="120" w:line="240" w:lineRule="auto"/>
      </w:pPr>
      <w:r w:rsidRPr="004B0CAA">
        <w:t>Provides clear definition of remedial education and methodology for calculating costs.</w:t>
      </w:r>
    </w:p>
    <w:p w:rsidR="004B0CAA" w:rsidRPr="004B0CAA" w:rsidRDefault="004B0CAA" w:rsidP="006778AC">
      <w:pPr>
        <w:numPr>
          <w:ilvl w:val="0"/>
          <w:numId w:val="18"/>
        </w:numPr>
        <w:spacing w:after="120" w:line="240" w:lineRule="auto"/>
      </w:pPr>
      <w:r w:rsidRPr="004B0CAA">
        <w:t>Recommendation on reducing time in remediation and its associated cost provides policy direction for reform.</w:t>
      </w:r>
    </w:p>
    <w:p w:rsidR="004B0CAA" w:rsidRPr="004B0CAA" w:rsidRDefault="004B0CAA" w:rsidP="006778AC">
      <w:pPr>
        <w:pStyle w:val="NormalWeb"/>
        <w:spacing w:before="0" w:beforeAutospacing="0" w:after="120" w:afterAutospacing="0"/>
        <w:rPr>
          <w:rFonts w:asciiTheme="minorHAnsi" w:hAnsiTheme="minorHAnsi"/>
          <w:sz w:val="22"/>
          <w:szCs w:val="22"/>
        </w:rPr>
      </w:pPr>
      <w:r w:rsidRPr="004B0CAA">
        <w:rPr>
          <w:rStyle w:val="Strong"/>
          <w:rFonts w:asciiTheme="minorHAnsi" w:hAnsiTheme="minorHAnsi"/>
          <w:sz w:val="22"/>
          <w:szCs w:val="22"/>
        </w:rPr>
        <w:t>Challenges</w:t>
      </w:r>
    </w:p>
    <w:p w:rsidR="004B0CAA" w:rsidRPr="004B0CAA" w:rsidRDefault="004B0CAA" w:rsidP="006778AC">
      <w:pPr>
        <w:numPr>
          <w:ilvl w:val="0"/>
          <w:numId w:val="19"/>
        </w:numPr>
        <w:spacing w:after="120" w:line="240" w:lineRule="auto"/>
      </w:pPr>
      <w:r w:rsidRPr="004B0CAA">
        <w:t>Lack of student success data in either annual report prevents analysis of return on investment of remedial education.</w:t>
      </w:r>
    </w:p>
    <w:p w:rsidR="004B0CAA" w:rsidRPr="004B0CAA" w:rsidRDefault="004B0CAA" w:rsidP="006778AC">
      <w:pPr>
        <w:numPr>
          <w:ilvl w:val="0"/>
          <w:numId w:val="19"/>
        </w:numPr>
        <w:spacing w:after="120" w:line="240" w:lineRule="auto"/>
      </w:pPr>
      <w:r w:rsidRPr="004B0CAA">
        <w:t>Basic analysis of student participation data is helpful, but limited.</w:t>
      </w:r>
    </w:p>
    <w:p w:rsidR="004B0CAA" w:rsidRPr="004B0CAA" w:rsidRDefault="004B0CAA" w:rsidP="006778AC">
      <w:pPr>
        <w:numPr>
          <w:ilvl w:val="0"/>
          <w:numId w:val="19"/>
        </w:numPr>
        <w:spacing w:after="120" w:line="240" w:lineRule="auto"/>
      </w:pPr>
      <w:r w:rsidRPr="004B0CAA">
        <w:t>Despite number of reports, little information on the nature of reform efforts or identification of areas in need of improvement for the remedial education enterprise.</w:t>
      </w:r>
    </w:p>
    <w:p w:rsidR="004B0CAA" w:rsidRPr="004B0CAA" w:rsidRDefault="004B0CAA" w:rsidP="006778AC">
      <w:pPr>
        <w:pStyle w:val="Heading2"/>
        <w:spacing w:before="0" w:beforeAutospacing="0" w:after="120" w:afterAutospacing="0"/>
        <w:rPr>
          <w:rFonts w:asciiTheme="minorHAnsi" w:hAnsiTheme="minorHAnsi"/>
          <w:sz w:val="22"/>
          <w:szCs w:val="22"/>
        </w:rPr>
      </w:pPr>
      <w:r w:rsidRPr="004B0CAA">
        <w:rPr>
          <w:rFonts w:asciiTheme="minorHAnsi" w:hAnsiTheme="minorHAnsi"/>
          <w:sz w:val="22"/>
          <w:szCs w:val="22"/>
        </w:rPr>
        <w:t>Policy Questions:</w:t>
      </w:r>
    </w:p>
    <w:p w:rsidR="004B0CAA" w:rsidRPr="004B0CAA" w:rsidRDefault="004B0CAA" w:rsidP="006778AC">
      <w:pPr>
        <w:numPr>
          <w:ilvl w:val="0"/>
          <w:numId w:val="20"/>
        </w:numPr>
        <w:spacing w:after="120" w:line="240" w:lineRule="auto"/>
      </w:pPr>
      <w:r w:rsidRPr="006778AC">
        <w:t>Should you track data on the success of remedial education students?</w:t>
      </w:r>
    </w:p>
    <w:p w:rsidR="004B0CAA" w:rsidRPr="004B0CAA" w:rsidRDefault="004B0CAA" w:rsidP="006778AC">
      <w:pPr>
        <w:numPr>
          <w:ilvl w:val="0"/>
          <w:numId w:val="20"/>
        </w:numPr>
        <w:spacing w:after="120" w:line="240" w:lineRule="auto"/>
      </w:pPr>
      <w:r w:rsidRPr="006778AC">
        <w:t xml:space="preserve">Should you track data on </w:t>
      </w:r>
      <w:r w:rsidRPr="006778AC">
        <w:rPr>
          <w:rStyle w:val="Emphasis"/>
          <w:i w:val="0"/>
        </w:rPr>
        <w:t>all</w:t>
      </w:r>
      <w:r w:rsidRPr="006778AC">
        <w:t xml:space="preserve"> students in remedial education?</w:t>
      </w:r>
    </w:p>
    <w:p w:rsidR="004B0CAA" w:rsidRPr="004B0CAA" w:rsidRDefault="004B0CAA" w:rsidP="006778AC">
      <w:pPr>
        <w:numPr>
          <w:ilvl w:val="0"/>
          <w:numId w:val="20"/>
        </w:numPr>
        <w:spacing w:after="120" w:line="240" w:lineRule="auto"/>
      </w:pPr>
      <w:r w:rsidRPr="006778AC">
        <w:t>Should you use your data on the success of students in remedial education to drive continuous improvement?</w:t>
      </w:r>
    </w:p>
    <w:p w:rsidR="004B0CAA" w:rsidRPr="004B0CAA" w:rsidRDefault="00CB11EC" w:rsidP="006778AC">
      <w:pPr>
        <w:pStyle w:val="Heading2"/>
        <w:spacing w:before="0" w:beforeAutospacing="0" w:after="120" w:afterAutospacing="0"/>
        <w:rPr>
          <w:rFonts w:asciiTheme="minorHAnsi" w:hAnsiTheme="minorHAnsi"/>
          <w:sz w:val="22"/>
          <w:szCs w:val="22"/>
        </w:rPr>
      </w:pPr>
      <w:r w:rsidRPr="00CB11EC">
        <w:rPr>
          <w:rFonts w:asciiTheme="minorHAnsi" w:hAnsiTheme="minorHAnsi"/>
          <w:sz w:val="24"/>
          <w:szCs w:val="24"/>
        </w:rPr>
        <w:t>Other Resources</w:t>
      </w:r>
      <w:r w:rsidR="004B0CAA" w:rsidRPr="004B0CAA">
        <w:rPr>
          <w:rFonts w:asciiTheme="minorHAnsi" w:hAnsiTheme="minorHAnsi"/>
          <w:sz w:val="22"/>
          <w:szCs w:val="22"/>
        </w:rPr>
        <w:t>:</w:t>
      </w:r>
    </w:p>
    <w:p w:rsidR="004B0CAA" w:rsidRPr="004B0CAA" w:rsidRDefault="00F5298C" w:rsidP="00CB11EC">
      <w:pPr>
        <w:spacing w:after="120" w:line="240" w:lineRule="auto"/>
      </w:pPr>
      <w:hyperlink r:id="rId37" w:history="1">
        <w:r w:rsidR="004B0CAA" w:rsidRPr="004B0CAA">
          <w:rPr>
            <w:rStyle w:val="Hyperlink"/>
          </w:rPr>
          <w:t>Access to Success: Increasing Arkansas’ College Graduates Promotes Economic Development</w:t>
        </w:r>
      </w:hyperlink>
      <w:r w:rsidR="004B0CAA" w:rsidRPr="004B0CAA">
        <w:br/>
        <w:t>The final report of an Arkansas task force offers recommendations for increasing the number of citizens holding bachelor’s degrees by 2015. One of the eight core recommendations focuses on decreasing remediation rates. The report also provides background</w:t>
      </w:r>
    </w:p>
    <w:p w:rsidR="003D7280" w:rsidRPr="004B0CAA" w:rsidRDefault="003D7280" w:rsidP="006778AC">
      <w:pPr>
        <w:spacing w:after="120" w:line="240" w:lineRule="auto"/>
      </w:pPr>
    </w:p>
    <w:sectPr w:rsidR="003D7280" w:rsidRPr="004B0CAA" w:rsidSect="00CA2541">
      <w:footerReference w:type="default" r:id="rId38"/>
      <w:pgSz w:w="12240" w:h="15840"/>
      <w:pgMar w:top="1152" w:right="1152" w:bottom="1152"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11EC" w:rsidRDefault="00CB11EC" w:rsidP="006778AC">
      <w:pPr>
        <w:spacing w:line="240" w:lineRule="auto"/>
      </w:pPr>
      <w:r>
        <w:separator/>
      </w:r>
    </w:p>
  </w:endnote>
  <w:endnote w:type="continuationSeparator" w:id="0">
    <w:p w:rsidR="00CB11EC" w:rsidRDefault="00CB11EC" w:rsidP="006778A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965877"/>
      <w:docPartObj>
        <w:docPartGallery w:val="Page Numbers (Bottom of Page)"/>
        <w:docPartUnique/>
      </w:docPartObj>
    </w:sdtPr>
    <w:sdtContent>
      <w:p w:rsidR="00CB11EC" w:rsidRDefault="00CB11EC">
        <w:pPr>
          <w:pStyle w:val="Footer"/>
          <w:jc w:val="center"/>
        </w:pPr>
        <w:fldSimple w:instr=" PAGE   \* MERGEFORMAT ">
          <w:r w:rsidR="00921399">
            <w:rPr>
              <w:noProof/>
            </w:rPr>
            <w:t>7</w:t>
          </w:r>
        </w:fldSimple>
      </w:p>
    </w:sdtContent>
  </w:sdt>
  <w:p w:rsidR="00CB11EC" w:rsidRDefault="00CB11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11EC" w:rsidRDefault="00CB11EC" w:rsidP="006778AC">
      <w:pPr>
        <w:spacing w:line="240" w:lineRule="auto"/>
      </w:pPr>
      <w:r>
        <w:separator/>
      </w:r>
    </w:p>
  </w:footnote>
  <w:footnote w:type="continuationSeparator" w:id="0">
    <w:p w:rsidR="00CB11EC" w:rsidRDefault="00CB11EC" w:rsidP="006778A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9337F"/>
    <w:multiLevelType w:val="multilevel"/>
    <w:tmpl w:val="8BD87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55194B"/>
    <w:multiLevelType w:val="multilevel"/>
    <w:tmpl w:val="F402B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A76E2C"/>
    <w:multiLevelType w:val="multilevel"/>
    <w:tmpl w:val="DD90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ED42B6"/>
    <w:multiLevelType w:val="multilevel"/>
    <w:tmpl w:val="241C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993391"/>
    <w:multiLevelType w:val="multilevel"/>
    <w:tmpl w:val="F0AA7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500926"/>
    <w:multiLevelType w:val="multilevel"/>
    <w:tmpl w:val="431CF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594701"/>
    <w:multiLevelType w:val="multilevel"/>
    <w:tmpl w:val="838C1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9F0484"/>
    <w:multiLevelType w:val="multilevel"/>
    <w:tmpl w:val="C3D4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3348B8"/>
    <w:multiLevelType w:val="multilevel"/>
    <w:tmpl w:val="1F0A0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886183"/>
    <w:multiLevelType w:val="multilevel"/>
    <w:tmpl w:val="6B12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186D72"/>
    <w:multiLevelType w:val="multilevel"/>
    <w:tmpl w:val="D68A2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DD67AB"/>
    <w:multiLevelType w:val="multilevel"/>
    <w:tmpl w:val="C94C1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A07019"/>
    <w:multiLevelType w:val="multilevel"/>
    <w:tmpl w:val="86B0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8C566B"/>
    <w:multiLevelType w:val="multilevel"/>
    <w:tmpl w:val="3F6C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011611"/>
    <w:multiLevelType w:val="multilevel"/>
    <w:tmpl w:val="59CE9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275FAB"/>
    <w:multiLevelType w:val="multilevel"/>
    <w:tmpl w:val="E99EE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D560997"/>
    <w:multiLevelType w:val="hybridMultilevel"/>
    <w:tmpl w:val="308E1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F772E8C"/>
    <w:multiLevelType w:val="multilevel"/>
    <w:tmpl w:val="B4F6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8B6359"/>
    <w:multiLevelType w:val="multilevel"/>
    <w:tmpl w:val="4D68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0A8203C"/>
    <w:multiLevelType w:val="multilevel"/>
    <w:tmpl w:val="B4EA1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54C4832"/>
    <w:multiLevelType w:val="multilevel"/>
    <w:tmpl w:val="F650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7"/>
  </w:num>
  <w:num w:numId="3">
    <w:abstractNumId w:val="3"/>
  </w:num>
  <w:num w:numId="4">
    <w:abstractNumId w:val="7"/>
  </w:num>
  <w:num w:numId="5">
    <w:abstractNumId w:val="20"/>
  </w:num>
  <w:num w:numId="6">
    <w:abstractNumId w:val="11"/>
  </w:num>
  <w:num w:numId="7">
    <w:abstractNumId w:val="19"/>
  </w:num>
  <w:num w:numId="8">
    <w:abstractNumId w:val="8"/>
  </w:num>
  <w:num w:numId="9">
    <w:abstractNumId w:val="13"/>
  </w:num>
  <w:num w:numId="10">
    <w:abstractNumId w:val="18"/>
  </w:num>
  <w:num w:numId="11">
    <w:abstractNumId w:val="0"/>
  </w:num>
  <w:num w:numId="12">
    <w:abstractNumId w:val="15"/>
  </w:num>
  <w:num w:numId="13">
    <w:abstractNumId w:val="14"/>
  </w:num>
  <w:num w:numId="14">
    <w:abstractNumId w:val="6"/>
  </w:num>
  <w:num w:numId="15">
    <w:abstractNumId w:val="5"/>
  </w:num>
  <w:num w:numId="16">
    <w:abstractNumId w:val="10"/>
  </w:num>
  <w:num w:numId="17">
    <w:abstractNumId w:val="9"/>
  </w:num>
  <w:num w:numId="18">
    <w:abstractNumId w:val="2"/>
  </w:num>
  <w:num w:numId="19">
    <w:abstractNumId w:val="12"/>
  </w:num>
  <w:num w:numId="20">
    <w:abstractNumId w:val="4"/>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rsids>
    <w:rsidRoot w:val="00CA2541"/>
    <w:rsid w:val="00056C12"/>
    <w:rsid w:val="001170E8"/>
    <w:rsid w:val="00147326"/>
    <w:rsid w:val="001D20CA"/>
    <w:rsid w:val="001E0828"/>
    <w:rsid w:val="00237B92"/>
    <w:rsid w:val="00264E17"/>
    <w:rsid w:val="00291CD1"/>
    <w:rsid w:val="002B247C"/>
    <w:rsid w:val="003670D2"/>
    <w:rsid w:val="003D7280"/>
    <w:rsid w:val="003E1AFA"/>
    <w:rsid w:val="00412A86"/>
    <w:rsid w:val="00453CE4"/>
    <w:rsid w:val="00491174"/>
    <w:rsid w:val="004B0CAA"/>
    <w:rsid w:val="004F2987"/>
    <w:rsid w:val="004F3418"/>
    <w:rsid w:val="005559A6"/>
    <w:rsid w:val="005973F5"/>
    <w:rsid w:val="005A7705"/>
    <w:rsid w:val="00674C04"/>
    <w:rsid w:val="006778AC"/>
    <w:rsid w:val="006941B5"/>
    <w:rsid w:val="00711502"/>
    <w:rsid w:val="00726132"/>
    <w:rsid w:val="00744A68"/>
    <w:rsid w:val="007D3A0F"/>
    <w:rsid w:val="007F6B63"/>
    <w:rsid w:val="00812607"/>
    <w:rsid w:val="00832A56"/>
    <w:rsid w:val="008C0098"/>
    <w:rsid w:val="008C63A5"/>
    <w:rsid w:val="008E7F88"/>
    <w:rsid w:val="008F1BF2"/>
    <w:rsid w:val="00921399"/>
    <w:rsid w:val="009444EF"/>
    <w:rsid w:val="00973353"/>
    <w:rsid w:val="00983177"/>
    <w:rsid w:val="00994285"/>
    <w:rsid w:val="009D6358"/>
    <w:rsid w:val="00A07502"/>
    <w:rsid w:val="00A6198E"/>
    <w:rsid w:val="00A853CA"/>
    <w:rsid w:val="00AC03B9"/>
    <w:rsid w:val="00AE0E37"/>
    <w:rsid w:val="00B4689B"/>
    <w:rsid w:val="00B74592"/>
    <w:rsid w:val="00BB7098"/>
    <w:rsid w:val="00C613D6"/>
    <w:rsid w:val="00C73539"/>
    <w:rsid w:val="00CA2541"/>
    <w:rsid w:val="00CB11EC"/>
    <w:rsid w:val="00CB77C5"/>
    <w:rsid w:val="00E848A6"/>
    <w:rsid w:val="00F4596E"/>
    <w:rsid w:val="00F5298C"/>
    <w:rsid w:val="00F83D2B"/>
    <w:rsid w:val="00FA142F"/>
    <w:rsid w:val="00FE7C77"/>
    <w:rsid w:val="00FF3C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280"/>
  </w:style>
  <w:style w:type="paragraph" w:styleId="Heading1">
    <w:name w:val="heading 1"/>
    <w:basedOn w:val="Normal"/>
    <w:link w:val="Heading1Char"/>
    <w:uiPriority w:val="9"/>
    <w:qFormat/>
    <w:rsid w:val="004B0CA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B0C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B0CA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25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541"/>
    <w:rPr>
      <w:rFonts w:ascii="Tahoma" w:hAnsi="Tahoma" w:cs="Tahoma"/>
      <w:sz w:val="16"/>
      <w:szCs w:val="16"/>
    </w:rPr>
  </w:style>
  <w:style w:type="character" w:styleId="Hyperlink">
    <w:name w:val="Hyperlink"/>
    <w:basedOn w:val="DefaultParagraphFont"/>
    <w:uiPriority w:val="99"/>
    <w:unhideWhenUsed/>
    <w:rsid w:val="00453CE4"/>
    <w:rPr>
      <w:color w:val="0000FF" w:themeColor="hyperlink"/>
      <w:u w:val="single"/>
    </w:rPr>
  </w:style>
  <w:style w:type="paragraph" w:styleId="ListParagraph">
    <w:name w:val="List Paragraph"/>
    <w:basedOn w:val="Normal"/>
    <w:uiPriority w:val="34"/>
    <w:qFormat/>
    <w:rsid w:val="00B74592"/>
    <w:pPr>
      <w:ind w:left="720"/>
      <w:contextualSpacing/>
    </w:pPr>
  </w:style>
  <w:style w:type="character" w:customStyle="1" w:styleId="Heading1Char">
    <w:name w:val="Heading 1 Char"/>
    <w:basedOn w:val="DefaultParagraphFont"/>
    <w:link w:val="Heading1"/>
    <w:uiPriority w:val="9"/>
    <w:rsid w:val="004B0CA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B0CA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B0CAA"/>
    <w:rPr>
      <w:rFonts w:ascii="Times New Roman" w:eastAsia="Times New Roman" w:hAnsi="Times New Roman" w:cs="Times New Roman"/>
      <w:b/>
      <w:bCs/>
      <w:sz w:val="27"/>
      <w:szCs w:val="27"/>
    </w:rPr>
  </w:style>
  <w:style w:type="paragraph" w:styleId="NormalWeb">
    <w:name w:val="Normal (Web)"/>
    <w:basedOn w:val="Normal"/>
    <w:uiPriority w:val="99"/>
    <w:unhideWhenUsed/>
    <w:rsid w:val="004B0C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B0CAA"/>
    <w:rPr>
      <w:b/>
      <w:bCs/>
    </w:rPr>
  </w:style>
  <w:style w:type="character" w:styleId="Emphasis">
    <w:name w:val="Emphasis"/>
    <w:basedOn w:val="DefaultParagraphFont"/>
    <w:uiPriority w:val="20"/>
    <w:qFormat/>
    <w:rsid w:val="004B0CAA"/>
    <w:rPr>
      <w:i/>
      <w:iCs/>
    </w:rPr>
  </w:style>
  <w:style w:type="table" w:styleId="TableGrid">
    <w:name w:val="Table Grid"/>
    <w:basedOn w:val="TableNormal"/>
    <w:uiPriority w:val="59"/>
    <w:rsid w:val="004B0CA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778AC"/>
    <w:pPr>
      <w:tabs>
        <w:tab w:val="center" w:pos="4680"/>
        <w:tab w:val="right" w:pos="9360"/>
      </w:tabs>
      <w:spacing w:line="240" w:lineRule="auto"/>
    </w:pPr>
  </w:style>
  <w:style w:type="character" w:customStyle="1" w:styleId="HeaderChar">
    <w:name w:val="Header Char"/>
    <w:basedOn w:val="DefaultParagraphFont"/>
    <w:link w:val="Header"/>
    <w:uiPriority w:val="99"/>
    <w:rsid w:val="006778AC"/>
  </w:style>
  <w:style w:type="paragraph" w:styleId="Footer">
    <w:name w:val="footer"/>
    <w:basedOn w:val="Normal"/>
    <w:link w:val="FooterChar"/>
    <w:uiPriority w:val="99"/>
    <w:unhideWhenUsed/>
    <w:rsid w:val="006778AC"/>
    <w:pPr>
      <w:tabs>
        <w:tab w:val="center" w:pos="4680"/>
        <w:tab w:val="right" w:pos="9360"/>
      </w:tabs>
      <w:spacing w:line="240" w:lineRule="auto"/>
    </w:pPr>
  </w:style>
  <w:style w:type="character" w:customStyle="1" w:styleId="FooterChar">
    <w:name w:val="Footer Char"/>
    <w:basedOn w:val="DefaultParagraphFont"/>
    <w:link w:val="Footer"/>
    <w:uiPriority w:val="99"/>
    <w:rsid w:val="006778AC"/>
  </w:style>
</w:styles>
</file>

<file path=word/webSettings.xml><?xml version="1.0" encoding="utf-8"?>
<w:webSettings xmlns:r="http://schemas.openxmlformats.org/officeDocument/2006/relationships" xmlns:w="http://schemas.openxmlformats.org/wordprocessingml/2006/main">
  <w:divs>
    <w:div w:id="186722478">
      <w:bodyDiv w:val="1"/>
      <w:marLeft w:val="0"/>
      <w:marRight w:val="0"/>
      <w:marTop w:val="0"/>
      <w:marBottom w:val="0"/>
      <w:divBdr>
        <w:top w:val="none" w:sz="0" w:space="0" w:color="auto"/>
        <w:left w:val="none" w:sz="0" w:space="0" w:color="auto"/>
        <w:bottom w:val="none" w:sz="0" w:space="0" w:color="auto"/>
        <w:right w:val="none" w:sz="0" w:space="0" w:color="auto"/>
      </w:divBdr>
      <w:divsChild>
        <w:div w:id="900289776">
          <w:marLeft w:val="0"/>
          <w:marRight w:val="0"/>
          <w:marTop w:val="0"/>
          <w:marBottom w:val="0"/>
          <w:divBdr>
            <w:top w:val="none" w:sz="0" w:space="0" w:color="auto"/>
            <w:left w:val="none" w:sz="0" w:space="0" w:color="auto"/>
            <w:bottom w:val="none" w:sz="0" w:space="0" w:color="auto"/>
            <w:right w:val="none" w:sz="0" w:space="0" w:color="auto"/>
          </w:divBdr>
        </w:div>
        <w:div w:id="2698179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1423331">
      <w:bodyDiv w:val="1"/>
      <w:marLeft w:val="0"/>
      <w:marRight w:val="0"/>
      <w:marTop w:val="0"/>
      <w:marBottom w:val="0"/>
      <w:divBdr>
        <w:top w:val="none" w:sz="0" w:space="0" w:color="auto"/>
        <w:left w:val="none" w:sz="0" w:space="0" w:color="auto"/>
        <w:bottom w:val="none" w:sz="0" w:space="0" w:color="auto"/>
        <w:right w:val="none" w:sz="0" w:space="0" w:color="auto"/>
      </w:divBdr>
      <w:divsChild>
        <w:div w:id="960305956">
          <w:marLeft w:val="0"/>
          <w:marRight w:val="0"/>
          <w:marTop w:val="0"/>
          <w:marBottom w:val="0"/>
          <w:divBdr>
            <w:top w:val="none" w:sz="0" w:space="0" w:color="auto"/>
            <w:left w:val="none" w:sz="0" w:space="0" w:color="auto"/>
            <w:bottom w:val="none" w:sz="0" w:space="0" w:color="auto"/>
            <w:right w:val="none" w:sz="0" w:space="0" w:color="auto"/>
          </w:divBdr>
        </w:div>
        <w:div w:id="1182360548">
          <w:marLeft w:val="0"/>
          <w:marRight w:val="0"/>
          <w:marTop w:val="0"/>
          <w:marBottom w:val="0"/>
          <w:divBdr>
            <w:top w:val="none" w:sz="0" w:space="0" w:color="auto"/>
            <w:left w:val="none" w:sz="0" w:space="0" w:color="auto"/>
            <w:bottom w:val="none" w:sz="0" w:space="0" w:color="auto"/>
            <w:right w:val="none" w:sz="0" w:space="0" w:color="auto"/>
          </w:divBdr>
        </w:div>
      </w:divsChild>
    </w:div>
    <w:div w:id="480391117">
      <w:bodyDiv w:val="1"/>
      <w:marLeft w:val="0"/>
      <w:marRight w:val="0"/>
      <w:marTop w:val="0"/>
      <w:marBottom w:val="0"/>
      <w:divBdr>
        <w:top w:val="none" w:sz="0" w:space="0" w:color="auto"/>
        <w:left w:val="none" w:sz="0" w:space="0" w:color="auto"/>
        <w:bottom w:val="none" w:sz="0" w:space="0" w:color="auto"/>
        <w:right w:val="none" w:sz="0" w:space="0" w:color="auto"/>
      </w:divBdr>
      <w:divsChild>
        <w:div w:id="853304349">
          <w:marLeft w:val="0"/>
          <w:marRight w:val="0"/>
          <w:marTop w:val="0"/>
          <w:marBottom w:val="0"/>
          <w:divBdr>
            <w:top w:val="none" w:sz="0" w:space="0" w:color="auto"/>
            <w:left w:val="none" w:sz="0" w:space="0" w:color="auto"/>
            <w:bottom w:val="none" w:sz="0" w:space="0" w:color="auto"/>
            <w:right w:val="none" w:sz="0" w:space="0" w:color="auto"/>
          </w:divBdr>
        </w:div>
      </w:divsChild>
    </w:div>
    <w:div w:id="540365073">
      <w:bodyDiv w:val="1"/>
      <w:marLeft w:val="0"/>
      <w:marRight w:val="0"/>
      <w:marTop w:val="0"/>
      <w:marBottom w:val="0"/>
      <w:divBdr>
        <w:top w:val="none" w:sz="0" w:space="0" w:color="auto"/>
        <w:left w:val="none" w:sz="0" w:space="0" w:color="auto"/>
        <w:bottom w:val="none" w:sz="0" w:space="0" w:color="auto"/>
        <w:right w:val="none" w:sz="0" w:space="0" w:color="auto"/>
      </w:divBdr>
      <w:divsChild>
        <w:div w:id="859468218">
          <w:marLeft w:val="0"/>
          <w:marRight w:val="0"/>
          <w:marTop w:val="0"/>
          <w:marBottom w:val="0"/>
          <w:divBdr>
            <w:top w:val="none" w:sz="0" w:space="0" w:color="auto"/>
            <w:left w:val="none" w:sz="0" w:space="0" w:color="auto"/>
            <w:bottom w:val="none" w:sz="0" w:space="0" w:color="auto"/>
            <w:right w:val="none" w:sz="0" w:space="0" w:color="auto"/>
          </w:divBdr>
          <w:divsChild>
            <w:div w:id="45107255">
              <w:marLeft w:val="0"/>
              <w:marRight w:val="0"/>
              <w:marTop w:val="0"/>
              <w:marBottom w:val="0"/>
              <w:divBdr>
                <w:top w:val="none" w:sz="0" w:space="0" w:color="auto"/>
                <w:left w:val="none" w:sz="0" w:space="0" w:color="auto"/>
                <w:bottom w:val="none" w:sz="0" w:space="0" w:color="auto"/>
                <w:right w:val="none" w:sz="0" w:space="0" w:color="auto"/>
              </w:divBdr>
              <w:divsChild>
                <w:div w:id="180434437">
                  <w:marLeft w:val="0"/>
                  <w:marRight w:val="0"/>
                  <w:marTop w:val="0"/>
                  <w:marBottom w:val="0"/>
                  <w:divBdr>
                    <w:top w:val="none" w:sz="0" w:space="0" w:color="auto"/>
                    <w:left w:val="none" w:sz="0" w:space="0" w:color="auto"/>
                    <w:bottom w:val="none" w:sz="0" w:space="0" w:color="auto"/>
                    <w:right w:val="none" w:sz="0" w:space="0" w:color="auto"/>
                  </w:divBdr>
                  <w:divsChild>
                    <w:div w:id="32923930">
                      <w:marLeft w:val="0"/>
                      <w:marRight w:val="0"/>
                      <w:marTop w:val="0"/>
                      <w:marBottom w:val="0"/>
                      <w:divBdr>
                        <w:top w:val="none" w:sz="0" w:space="0" w:color="auto"/>
                        <w:left w:val="none" w:sz="0" w:space="0" w:color="auto"/>
                        <w:bottom w:val="none" w:sz="0" w:space="0" w:color="auto"/>
                        <w:right w:val="none" w:sz="0" w:space="0" w:color="auto"/>
                      </w:divBdr>
                    </w:div>
                    <w:div w:id="924655958">
                      <w:marLeft w:val="0"/>
                      <w:marRight w:val="0"/>
                      <w:marTop w:val="0"/>
                      <w:marBottom w:val="0"/>
                      <w:divBdr>
                        <w:top w:val="none" w:sz="0" w:space="0" w:color="auto"/>
                        <w:left w:val="none" w:sz="0" w:space="0" w:color="auto"/>
                        <w:bottom w:val="none" w:sz="0" w:space="0" w:color="auto"/>
                        <w:right w:val="none" w:sz="0" w:space="0" w:color="auto"/>
                      </w:divBdr>
                    </w:div>
                    <w:div w:id="1872720389">
                      <w:marLeft w:val="0"/>
                      <w:marRight w:val="0"/>
                      <w:marTop w:val="0"/>
                      <w:marBottom w:val="0"/>
                      <w:divBdr>
                        <w:top w:val="none" w:sz="0" w:space="0" w:color="auto"/>
                        <w:left w:val="none" w:sz="0" w:space="0" w:color="auto"/>
                        <w:bottom w:val="none" w:sz="0" w:space="0" w:color="auto"/>
                        <w:right w:val="none" w:sz="0" w:space="0" w:color="auto"/>
                      </w:divBdr>
                    </w:div>
                    <w:div w:id="1536963640">
                      <w:marLeft w:val="0"/>
                      <w:marRight w:val="0"/>
                      <w:marTop w:val="0"/>
                      <w:marBottom w:val="0"/>
                      <w:divBdr>
                        <w:top w:val="none" w:sz="0" w:space="0" w:color="auto"/>
                        <w:left w:val="none" w:sz="0" w:space="0" w:color="auto"/>
                        <w:bottom w:val="none" w:sz="0" w:space="0" w:color="auto"/>
                        <w:right w:val="none" w:sz="0" w:space="0" w:color="auto"/>
                      </w:divBdr>
                    </w:div>
                    <w:div w:id="1346711836">
                      <w:marLeft w:val="0"/>
                      <w:marRight w:val="0"/>
                      <w:marTop w:val="0"/>
                      <w:marBottom w:val="0"/>
                      <w:divBdr>
                        <w:top w:val="none" w:sz="0" w:space="0" w:color="auto"/>
                        <w:left w:val="none" w:sz="0" w:space="0" w:color="auto"/>
                        <w:bottom w:val="none" w:sz="0" w:space="0" w:color="auto"/>
                        <w:right w:val="none" w:sz="0" w:space="0" w:color="auto"/>
                      </w:divBdr>
                    </w:div>
                  </w:divsChild>
                </w:div>
                <w:div w:id="369064335">
                  <w:marLeft w:val="0"/>
                  <w:marRight w:val="0"/>
                  <w:marTop w:val="0"/>
                  <w:marBottom w:val="0"/>
                  <w:divBdr>
                    <w:top w:val="none" w:sz="0" w:space="0" w:color="auto"/>
                    <w:left w:val="none" w:sz="0" w:space="0" w:color="auto"/>
                    <w:bottom w:val="none" w:sz="0" w:space="0" w:color="auto"/>
                    <w:right w:val="none" w:sz="0" w:space="0" w:color="auto"/>
                  </w:divBdr>
                  <w:divsChild>
                    <w:div w:id="106195305">
                      <w:marLeft w:val="0"/>
                      <w:marRight w:val="0"/>
                      <w:marTop w:val="0"/>
                      <w:marBottom w:val="0"/>
                      <w:divBdr>
                        <w:top w:val="none" w:sz="0" w:space="0" w:color="auto"/>
                        <w:left w:val="none" w:sz="0" w:space="0" w:color="auto"/>
                        <w:bottom w:val="none" w:sz="0" w:space="0" w:color="auto"/>
                        <w:right w:val="none" w:sz="0" w:space="0" w:color="auto"/>
                      </w:divBdr>
                    </w:div>
                    <w:div w:id="267661455">
                      <w:marLeft w:val="0"/>
                      <w:marRight w:val="0"/>
                      <w:marTop w:val="0"/>
                      <w:marBottom w:val="0"/>
                      <w:divBdr>
                        <w:top w:val="none" w:sz="0" w:space="0" w:color="auto"/>
                        <w:left w:val="none" w:sz="0" w:space="0" w:color="auto"/>
                        <w:bottom w:val="none" w:sz="0" w:space="0" w:color="auto"/>
                        <w:right w:val="none" w:sz="0" w:space="0" w:color="auto"/>
                      </w:divBdr>
                    </w:div>
                    <w:div w:id="1772359949">
                      <w:marLeft w:val="0"/>
                      <w:marRight w:val="0"/>
                      <w:marTop w:val="0"/>
                      <w:marBottom w:val="0"/>
                      <w:divBdr>
                        <w:top w:val="none" w:sz="0" w:space="0" w:color="auto"/>
                        <w:left w:val="none" w:sz="0" w:space="0" w:color="auto"/>
                        <w:bottom w:val="none" w:sz="0" w:space="0" w:color="auto"/>
                        <w:right w:val="none" w:sz="0" w:space="0" w:color="auto"/>
                      </w:divBdr>
                    </w:div>
                    <w:div w:id="1042705458">
                      <w:marLeft w:val="0"/>
                      <w:marRight w:val="0"/>
                      <w:marTop w:val="0"/>
                      <w:marBottom w:val="0"/>
                      <w:divBdr>
                        <w:top w:val="none" w:sz="0" w:space="0" w:color="auto"/>
                        <w:left w:val="none" w:sz="0" w:space="0" w:color="auto"/>
                        <w:bottom w:val="none" w:sz="0" w:space="0" w:color="auto"/>
                        <w:right w:val="none" w:sz="0" w:space="0" w:color="auto"/>
                      </w:divBdr>
                    </w:div>
                    <w:div w:id="180789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1040">
              <w:marLeft w:val="0"/>
              <w:marRight w:val="0"/>
              <w:marTop w:val="0"/>
              <w:marBottom w:val="0"/>
              <w:divBdr>
                <w:top w:val="none" w:sz="0" w:space="0" w:color="auto"/>
                <w:left w:val="none" w:sz="0" w:space="0" w:color="auto"/>
                <w:bottom w:val="none" w:sz="0" w:space="0" w:color="auto"/>
                <w:right w:val="none" w:sz="0" w:space="0" w:color="auto"/>
              </w:divBdr>
            </w:div>
            <w:div w:id="154671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247185">
      <w:bodyDiv w:val="1"/>
      <w:marLeft w:val="0"/>
      <w:marRight w:val="0"/>
      <w:marTop w:val="0"/>
      <w:marBottom w:val="0"/>
      <w:divBdr>
        <w:top w:val="none" w:sz="0" w:space="0" w:color="auto"/>
        <w:left w:val="none" w:sz="0" w:space="0" w:color="auto"/>
        <w:bottom w:val="none" w:sz="0" w:space="0" w:color="auto"/>
        <w:right w:val="none" w:sz="0" w:space="0" w:color="auto"/>
      </w:divBdr>
      <w:divsChild>
        <w:div w:id="221255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chievingthedream.org/" TargetMode="External"/><Relationship Id="rId18" Type="http://schemas.openxmlformats.org/officeDocument/2006/relationships/hyperlink" Target="http://gettingpastgo.org/california" TargetMode="External"/><Relationship Id="rId26" Type="http://schemas.openxmlformats.org/officeDocument/2006/relationships/hyperlink" Target="http://blrspweb01/assembly/2011/2011R/Acts/Act743.pdf" TargetMode="External"/><Relationship Id="rId39" Type="http://schemas.openxmlformats.org/officeDocument/2006/relationships/fontTable" Target="fontTable.xml"/><Relationship Id="rId21" Type="http://schemas.openxmlformats.org/officeDocument/2006/relationships/hyperlink" Target="http://gettingpastgo.org/kentucky" TargetMode="External"/><Relationship Id="rId34" Type="http://schemas.openxmlformats.org/officeDocument/2006/relationships/hyperlink" Target="http://www.adhe.edu/SiteCollectionDocuments/Comprehensive%20Report/14%20-%20Remed_Report-FINAL.pdf" TargetMode="External"/><Relationship Id="rId42"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ompletecollege.org/docs/Arkansas.pdf" TargetMode="External"/><Relationship Id="rId20" Type="http://schemas.openxmlformats.org/officeDocument/2006/relationships/hyperlink" Target="http://gettingpastgo.org/tennessee" TargetMode="External"/><Relationship Id="rId29" Type="http://schemas.openxmlformats.org/officeDocument/2006/relationships/hyperlink" Target="http://blrspweb01/assembly/2011/2011R/Acts/Act1203.pdf" TargetMode="External"/><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lrspweb01/assembly/2011/2011R/Bills/HB1617.pdf" TargetMode="External"/><Relationship Id="rId24" Type="http://schemas.openxmlformats.org/officeDocument/2006/relationships/hyperlink" Target="http://gettingpastgo.socrata.com/Education/Arkansas-Assessment-and-Placement-Cutscores/74tb-72gn" TargetMode="External"/><Relationship Id="rId32" Type="http://schemas.openxmlformats.org/officeDocument/2006/relationships/hyperlink" Target="http://www.adhe.edu/SiteCollectionDocuments/AHEC%20Board/Presentations/jpTaskForceReport-LATESTVERSION.pdf" TargetMode="External"/><Relationship Id="rId37" Type="http://schemas.openxmlformats.org/officeDocument/2006/relationships/hyperlink" Target="http://www.adhe.edu/SiteCollectionDocuments/AHEC%20Board/Presentations/jpTaskForceReport-LATESTVERSION.pdf"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restandards.org/" TargetMode="External"/><Relationship Id="rId23" Type="http://schemas.openxmlformats.org/officeDocument/2006/relationships/hyperlink" Target="http://gettingpastgo.socrata.com/Education/Arkansas-Assessment-and-Placement/ehmz-9n4y" TargetMode="External"/><Relationship Id="rId28" Type="http://schemas.openxmlformats.org/officeDocument/2006/relationships/hyperlink" Target="http://gettingpastgo.socrata.com/Education/Arkansas-Instructional-Delivery-Strategies/2djr-pjqi" TargetMode="External"/><Relationship Id="rId36" Type="http://schemas.openxmlformats.org/officeDocument/2006/relationships/hyperlink" Target="http://gettingpastgo.socrata.com/Education/Arkansas-Remedial-Reports/xfpb-29j2" TargetMode="External"/><Relationship Id="rId10" Type="http://schemas.openxmlformats.org/officeDocument/2006/relationships/hyperlink" Target="http://gettingpastgo.org/arkansas" TargetMode="External"/><Relationship Id="rId19" Type="http://schemas.openxmlformats.org/officeDocument/2006/relationships/hyperlink" Target="http://gettingpastgo.org/florida" TargetMode="External"/><Relationship Id="rId31" Type="http://schemas.openxmlformats.org/officeDocument/2006/relationships/hyperlink" Target="http://blrspweb01/assembly/2011/2011R/Acts/Act696.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chieve.org/files/AR-ADPplan.pdf" TargetMode="External"/><Relationship Id="rId22" Type="http://schemas.openxmlformats.org/officeDocument/2006/relationships/hyperlink" Target="http://blrspweb01/assembly/2011/2011R/Bills/HB2032.pdf" TargetMode="External"/><Relationship Id="rId27" Type="http://schemas.openxmlformats.org/officeDocument/2006/relationships/hyperlink" Target="http://blrspweb01/assembly/2011/2011R/Bills/HB2032.pdf" TargetMode="External"/><Relationship Id="rId30" Type="http://schemas.openxmlformats.org/officeDocument/2006/relationships/hyperlink" Target="http://gettingpastgo.socrata.com/Education/Arkansas-Accountability/xy5g-yge5" TargetMode="External"/><Relationship Id="rId35" Type="http://schemas.openxmlformats.org/officeDocument/2006/relationships/hyperlink" Target="http://www.adhe.edu/SiteCollectionDocuments/Comprehensive%20Report/10%20-%20UR2007-08.pdf" TargetMode="External"/><Relationship Id="rId43" Type="http://schemas.openxmlformats.org/officeDocument/2006/relationships/customXml" Target="../customXml/item4.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blrspweb01/assembly/2011/2011R/Acts/Act743.pdf" TargetMode="External"/><Relationship Id="rId17" Type="http://schemas.openxmlformats.org/officeDocument/2006/relationships/hyperlink" Target="http://gettingpastgo.socrata.com/Education/Arkansas-State-Developmental-Education-Policies/mpnz-xm8a" TargetMode="External"/><Relationship Id="rId25" Type="http://schemas.openxmlformats.org/officeDocument/2006/relationships/hyperlink" Target="http://blrspweb01/assembly/2011/2011R/Bills/HB1617.pdf" TargetMode="External"/><Relationship Id="rId33" Type="http://schemas.openxmlformats.org/officeDocument/2006/relationships/hyperlink" Target="http://www.adhe.edu/institutions/Pages/2009ComprehensiveReport.aspx"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2C4EB5-8CEC-44A4-83E5-E1733897E00F}"/>
</file>

<file path=customXml/itemProps2.xml><?xml version="1.0" encoding="utf-8"?>
<ds:datastoreItem xmlns:ds="http://schemas.openxmlformats.org/officeDocument/2006/customXml" ds:itemID="{46178240-C5DA-47A8-AC67-D16EA9878CB0}"/>
</file>

<file path=customXml/itemProps3.xml><?xml version="1.0" encoding="utf-8"?>
<ds:datastoreItem xmlns:ds="http://schemas.openxmlformats.org/officeDocument/2006/customXml" ds:itemID="{7375F2FA-FC59-4F21-9B70-0B8C37FB4489}"/>
</file>

<file path=customXml/itemProps4.xml><?xml version="1.0" encoding="utf-8"?>
<ds:datastoreItem xmlns:ds="http://schemas.openxmlformats.org/officeDocument/2006/customXml" ds:itemID="{9C59A5E2-5CDD-4A72-B5A5-3D5084943136}"/>
</file>

<file path=docProps/app.xml><?xml version="1.0" encoding="utf-8"?>
<Properties xmlns="http://schemas.openxmlformats.org/officeDocument/2006/extended-properties" xmlns:vt="http://schemas.openxmlformats.org/officeDocument/2006/docPropsVTypes">
  <Template>Normal</Template>
  <TotalTime>19</TotalTime>
  <Pages>7</Pages>
  <Words>3151</Words>
  <Characters>17965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MFulton</dc:creator>
  <cp:keywords/>
  <dc:description/>
  <cp:lastModifiedBy>MFulton</cp:lastModifiedBy>
  <cp:revision>7</cp:revision>
  <cp:lastPrinted>2011-06-29T21:00:00Z</cp:lastPrinted>
  <dcterms:created xsi:type="dcterms:W3CDTF">2011-11-15T15:34:00Z</dcterms:created>
  <dcterms:modified xsi:type="dcterms:W3CDTF">2011-11-15T17:15:00Z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1937200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