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54" w:rsidRDefault="00D82254" w:rsidP="00D82254">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STATE BOARD OF PHARMACY</w:t>
      </w:r>
      <w:r w:rsidRPr="00320C2D">
        <w:rPr>
          <w:rFonts w:ascii="Times New Roman" w:hAnsi="Times New Roman" w:cs="Times New Roman"/>
          <w:b/>
          <w:sz w:val="24"/>
          <w:szCs w:val="24"/>
        </w:rPr>
        <w:t xml:space="preserve"> </w:t>
      </w:r>
    </w:p>
    <w:p w:rsidR="00D82254" w:rsidRPr="00EE7455" w:rsidRDefault="00D82254" w:rsidP="00D82254">
      <w:pPr>
        <w:spacing w:after="0"/>
        <w:ind w:firstLine="0"/>
        <w:rPr>
          <w:rFonts w:ascii="Times New Roman" w:hAnsi="Times New Roman" w:cs="Times New Roman"/>
          <w:sz w:val="24"/>
          <w:szCs w:val="24"/>
        </w:rPr>
      </w:pPr>
    </w:p>
    <w:p w:rsidR="00D82254" w:rsidRDefault="00D82254" w:rsidP="00D82254">
      <w:pPr>
        <w:spacing w:after="0"/>
        <w:rPr>
          <w:rFonts w:ascii="Times New Roman" w:hAnsi="Times New Roman"/>
          <w:sz w:val="24"/>
        </w:rPr>
      </w:pPr>
      <w:r w:rsidRPr="00EE7455">
        <w:rPr>
          <w:rFonts w:ascii="Times New Roman" w:hAnsi="Times New Roman" w:cs="Times New Roman"/>
          <w:sz w:val="24"/>
          <w:szCs w:val="24"/>
        </w:rPr>
        <w:tab/>
      </w:r>
      <w:r>
        <w:rPr>
          <w:rFonts w:ascii="Times New Roman" w:hAnsi="Times New Roman" w:cs="Times New Roman"/>
          <w:sz w:val="24"/>
          <w:szCs w:val="24"/>
        </w:rPr>
        <w:tab/>
      </w: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02; Pharmacists</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The amendments to Regulation 02 do the following:</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Allow for consideration of a pharmacist’s practice history outside a permitted pharmacy when applying for reciprocity.</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Update language regulation the North American Pharmacist Licensure Examination to reflect changes made by NAPLEX and to reflect the period of validity for a score transfer.</w:t>
      </w:r>
    </w:p>
    <w:p w:rsidR="00D82254" w:rsidRDefault="00D82254" w:rsidP="00D82254">
      <w:pPr>
        <w:pStyle w:val="ListParagraph"/>
        <w:ind w:left="2160" w:firstLine="0"/>
      </w:pPr>
    </w:p>
    <w:p w:rsidR="00D82254" w:rsidRDefault="00D82254" w:rsidP="00D82254">
      <w:pPr>
        <w:numPr>
          <w:ilvl w:val="0"/>
          <w:numId w:val="2"/>
        </w:numPr>
        <w:spacing w:after="0"/>
        <w:ind w:left="2160" w:firstLine="0"/>
        <w:rPr>
          <w:rFonts w:ascii="Times New Roman" w:hAnsi="Times New Roman"/>
          <w:sz w:val="24"/>
        </w:rPr>
      </w:pPr>
      <w:r>
        <w:rPr>
          <w:rFonts w:ascii="Times New Roman" w:hAnsi="Times New Roman"/>
          <w:sz w:val="24"/>
        </w:rPr>
        <w:t>Update requirements for the Board of Pharmacy accreditation of pharmacist continuing education.  This will decrease the amount of time needed in advance of program approval and will also explain requirements for anyone requesting CE so that the board can verify participation by pharmacists.</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No public comments were submitted to the board.  </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sz w:val="24"/>
        </w:rPr>
        <w:t>An attorney with the Bureau of Legislative Research asked the following questions:</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1"/>
        </w:numPr>
        <w:spacing w:after="0"/>
        <w:ind w:left="2160" w:firstLine="0"/>
        <w:rPr>
          <w:rFonts w:ascii="Times New Roman" w:hAnsi="Times New Roman"/>
          <w:sz w:val="24"/>
        </w:rPr>
      </w:pPr>
      <w:r>
        <w:rPr>
          <w:rFonts w:ascii="Times New Roman" w:hAnsi="Times New Roman"/>
          <w:sz w:val="24"/>
        </w:rPr>
        <w:t xml:space="preserve">Under Section 02-00-0003, in what situations would you contemplate there being a “waiver by the Board”?  </w:t>
      </w:r>
      <w:r>
        <w:rPr>
          <w:rFonts w:ascii="Times New Roman" w:hAnsi="Times New Roman"/>
          <w:b/>
          <w:sz w:val="24"/>
        </w:rPr>
        <w:t xml:space="preserve">RESPONSE:  </w:t>
      </w:r>
      <w:r>
        <w:rPr>
          <w:rFonts w:ascii="Times New Roman" w:hAnsi="Times New Roman"/>
          <w:sz w:val="24"/>
        </w:rPr>
        <w:t>This is an issue where we have had several pharmacists apply for reciprocity that practice pharmacy on a regular basis but they are not practicing in a licensed pharmacy.  In most cases, this would be a situation where someone is working in a college of pharmacy, physician clinic, somewhere like Medicaid, the Board of Pharmacy, or some other similar capacity.  The issue is that they are practicing pharmacy but they are not in a licensed pharmacy.</w:t>
      </w:r>
    </w:p>
    <w:p w:rsidR="00D82254" w:rsidRDefault="00D82254" w:rsidP="00D82254">
      <w:pPr>
        <w:spacing w:after="0"/>
        <w:ind w:left="2160" w:firstLine="0"/>
        <w:rPr>
          <w:rFonts w:ascii="Times New Roman" w:hAnsi="Times New Roman"/>
          <w:sz w:val="24"/>
        </w:rPr>
      </w:pPr>
    </w:p>
    <w:p w:rsidR="00D82254" w:rsidRDefault="00D82254" w:rsidP="00D82254">
      <w:pPr>
        <w:numPr>
          <w:ilvl w:val="0"/>
          <w:numId w:val="1"/>
        </w:numPr>
        <w:spacing w:after="0"/>
        <w:ind w:left="2160" w:firstLine="0"/>
        <w:rPr>
          <w:rFonts w:ascii="Times New Roman" w:hAnsi="Times New Roman"/>
          <w:sz w:val="24"/>
        </w:rPr>
      </w:pPr>
      <w:r>
        <w:rPr>
          <w:rFonts w:ascii="Times New Roman" w:hAnsi="Times New Roman"/>
          <w:sz w:val="24"/>
        </w:rPr>
        <w:t xml:space="preserve">Under Section 02-02-0002, you may want to delete “either” since you deleted the “or” phrase in that paragraph.  </w:t>
      </w:r>
      <w:r>
        <w:rPr>
          <w:rFonts w:ascii="Times New Roman" w:hAnsi="Times New Roman"/>
          <w:b/>
          <w:sz w:val="24"/>
        </w:rPr>
        <w:t xml:space="preserve">RESPONSE:  </w:t>
      </w:r>
      <w:r>
        <w:rPr>
          <w:rFonts w:ascii="Times New Roman" w:hAnsi="Times New Roman"/>
          <w:sz w:val="24"/>
        </w:rPr>
        <w:t>Change made.</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sz w:val="24"/>
        </w:rPr>
        <w:t>The proposed effective date is November 30, 2010.</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w:t>
      </w:r>
    </w:p>
    <w:p w:rsidR="00D82254" w:rsidRDefault="00D82254" w:rsidP="00D82254">
      <w:pPr>
        <w:spacing w:after="0"/>
        <w:ind w:left="2160" w:firstLine="0"/>
        <w:rPr>
          <w:rFonts w:ascii="Times New Roman" w:hAnsi="Times New Roman"/>
          <w:sz w:val="24"/>
        </w:rPr>
      </w:pPr>
    </w:p>
    <w:p w:rsidR="00D82254" w:rsidRDefault="00D82254" w:rsidP="00D82254">
      <w:pPr>
        <w:spacing w:after="0"/>
        <w:ind w:left="2160" w:firstLine="0"/>
        <w:rPr>
          <w:rFonts w:ascii="Times New Roman" w:hAnsi="Times New Roman" w:cs="Times New Roman"/>
          <w:sz w:val="24"/>
          <w:szCs w:val="24"/>
        </w:rPr>
      </w:pPr>
      <w:r>
        <w:rPr>
          <w:rFonts w:ascii="Times New Roman" w:hAnsi="Times New Roman"/>
          <w:b/>
          <w:sz w:val="24"/>
          <w:u w:val="single"/>
        </w:rPr>
        <w:lastRenderedPageBreak/>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13C" w:rsidRDefault="00CD713C" w:rsidP="0090276B">
      <w:pPr>
        <w:spacing w:after="0"/>
      </w:pPr>
      <w:r>
        <w:separator/>
      </w:r>
    </w:p>
  </w:endnote>
  <w:endnote w:type="continuationSeparator" w:id="0">
    <w:p w:rsidR="00CD713C" w:rsidRDefault="00CD713C" w:rsidP="009027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13C" w:rsidRDefault="00CD713C" w:rsidP="0090276B">
      <w:pPr>
        <w:spacing w:after="0"/>
      </w:pPr>
      <w:r>
        <w:separator/>
      </w:r>
    </w:p>
  </w:footnote>
  <w:footnote w:type="continuationSeparator" w:id="0">
    <w:p w:rsidR="00CD713C" w:rsidRDefault="00CD713C" w:rsidP="009027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6B" w:rsidRPr="0090276B" w:rsidRDefault="0090276B" w:rsidP="0090276B">
    <w:pPr>
      <w:pStyle w:val="Header"/>
      <w:jc w:val="right"/>
      <w:rPr>
        <w:rFonts w:ascii="Times New Roman" w:hAnsi="Times New Roman" w:cs="Times New Roman"/>
        <w:b/>
        <w:sz w:val="52"/>
        <w:szCs w:val="52"/>
      </w:rPr>
    </w:pPr>
    <w:r w:rsidRPr="0090276B">
      <w:rPr>
        <w:rFonts w:ascii="Times New Roman" w:hAnsi="Times New Roman" w:cs="Times New Roman"/>
        <w:b/>
        <w:sz w:val="52"/>
        <w:szCs w:val="52"/>
      </w:rPr>
      <w:t>EXHIBIT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95D"/>
    <w:multiLevelType w:val="hybridMultilevel"/>
    <w:tmpl w:val="6346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291DF0"/>
    <w:multiLevelType w:val="hybridMultilevel"/>
    <w:tmpl w:val="D1EAB5D8"/>
    <w:lvl w:ilvl="0" w:tplc="D63C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D82254"/>
    <w:rsid w:val="002C2B5F"/>
    <w:rsid w:val="00425B04"/>
    <w:rsid w:val="007F17BF"/>
    <w:rsid w:val="0090276B"/>
    <w:rsid w:val="0094279B"/>
    <w:rsid w:val="00CD713C"/>
    <w:rsid w:val="00D82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254"/>
    <w:pPr>
      <w:spacing w:after="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0276B"/>
    <w:pPr>
      <w:tabs>
        <w:tab w:val="center" w:pos="4680"/>
        <w:tab w:val="right" w:pos="9360"/>
      </w:tabs>
      <w:spacing w:after="0"/>
    </w:pPr>
  </w:style>
  <w:style w:type="character" w:customStyle="1" w:styleId="HeaderChar">
    <w:name w:val="Header Char"/>
    <w:basedOn w:val="DefaultParagraphFont"/>
    <w:link w:val="Header"/>
    <w:uiPriority w:val="99"/>
    <w:semiHidden/>
    <w:rsid w:val="0090276B"/>
  </w:style>
  <w:style w:type="paragraph" w:styleId="Footer">
    <w:name w:val="footer"/>
    <w:basedOn w:val="Normal"/>
    <w:link w:val="FooterChar"/>
    <w:uiPriority w:val="99"/>
    <w:semiHidden/>
    <w:unhideWhenUsed/>
    <w:rsid w:val="0090276B"/>
    <w:pPr>
      <w:tabs>
        <w:tab w:val="center" w:pos="4680"/>
        <w:tab w:val="right" w:pos="9360"/>
      </w:tabs>
      <w:spacing w:after="0"/>
    </w:pPr>
  </w:style>
  <w:style w:type="character" w:customStyle="1" w:styleId="FooterChar">
    <w:name w:val="Footer Char"/>
    <w:basedOn w:val="DefaultParagraphFont"/>
    <w:link w:val="Footer"/>
    <w:uiPriority w:val="99"/>
    <w:semiHidden/>
    <w:rsid w:val="009027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5597DD4-2EFD-4843-9D30-46AABD9A98FC}"/>
</file>

<file path=customXml/itemProps2.xml><?xml version="1.0" encoding="utf-8"?>
<ds:datastoreItem xmlns:ds="http://schemas.openxmlformats.org/officeDocument/2006/customXml" ds:itemID="{6EB8EF73-614B-4BC0-998F-08A1597E04BE}"/>
</file>

<file path=customXml/itemProps3.xml><?xml version="1.0" encoding="utf-8"?>
<ds:datastoreItem xmlns:ds="http://schemas.openxmlformats.org/officeDocument/2006/customXml" ds:itemID="{A4B57C70-AB54-4723-A9DA-6B1617EF8D02}"/>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2010-11-16T17:05:00Z</cp:lastPrinted>
  <dcterms:created xsi:type="dcterms:W3CDTF">2010-11-16T16:51:00Z</dcterms:created>
  <dcterms:modified xsi:type="dcterms:W3CDTF">2010-11-16T17:25:00Z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2320200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