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1F" w:rsidRDefault="00D8291F" w:rsidP="00AB104A">
      <w:pPr>
        <w:pStyle w:val="Subtitle"/>
        <w:jc w:val="center"/>
        <w:rPr>
          <w:rFonts w:ascii="Times New Roman" w:hAnsi="Times New Roman"/>
          <w:b/>
          <w:color w:val="1F497D" w:themeColor="text2"/>
          <w:sz w:val="56"/>
          <w:szCs w:val="56"/>
        </w:rPr>
      </w:pPr>
    </w:p>
    <w:p w:rsidR="00D8291F" w:rsidRDefault="00D8291F" w:rsidP="00AB104A">
      <w:pPr>
        <w:pStyle w:val="Subtitle"/>
        <w:jc w:val="center"/>
        <w:rPr>
          <w:rFonts w:ascii="Times New Roman" w:hAnsi="Times New Roman"/>
          <w:b/>
          <w:color w:val="1F497D" w:themeColor="text2"/>
          <w:sz w:val="56"/>
          <w:szCs w:val="56"/>
        </w:rPr>
      </w:pPr>
    </w:p>
    <w:p w:rsidR="00D8291F" w:rsidRDefault="00D8291F" w:rsidP="00AB104A">
      <w:pPr>
        <w:pStyle w:val="Subtitle"/>
        <w:jc w:val="center"/>
        <w:rPr>
          <w:rFonts w:ascii="Times New Roman" w:hAnsi="Times New Roman"/>
          <w:b/>
          <w:color w:val="1F497D" w:themeColor="text2"/>
          <w:sz w:val="56"/>
          <w:szCs w:val="56"/>
        </w:rPr>
      </w:pPr>
    </w:p>
    <w:p w:rsidR="00D8291F" w:rsidRDefault="0098697B" w:rsidP="00AB104A">
      <w:pPr>
        <w:pStyle w:val="Subtitle"/>
        <w:jc w:val="center"/>
        <w:rPr>
          <w:rFonts w:ascii="Times New Roman" w:hAnsi="Times New Roman"/>
          <w:b/>
          <w:color w:val="1F497D" w:themeColor="text2"/>
          <w:sz w:val="56"/>
          <w:szCs w:val="56"/>
        </w:rPr>
      </w:pPr>
      <w:r>
        <w:rPr>
          <w:rFonts w:ascii="Times New Roman" w:hAnsi="Times New Roman"/>
          <w:b/>
          <w:color w:val="1F497D" w:themeColor="text2"/>
          <w:sz w:val="56"/>
          <w:szCs w:val="56"/>
        </w:rPr>
        <w:t>Defining Essential Health Benefits</w:t>
      </w:r>
    </w:p>
    <w:p w:rsidR="00D8291F" w:rsidRDefault="008D4AD1" w:rsidP="0098697B">
      <w:pPr>
        <w:pStyle w:val="Subtitle"/>
        <w:jc w:val="center"/>
        <w:rPr>
          <w:rFonts w:ascii="Times New Roman" w:hAnsi="Times New Roman"/>
          <w:b/>
          <w:color w:val="1F497D" w:themeColor="text2"/>
          <w:sz w:val="56"/>
          <w:szCs w:val="56"/>
        </w:rPr>
      </w:pPr>
      <w:r>
        <w:rPr>
          <w:rFonts w:ascii="Times New Roman" w:hAnsi="Times New Roman"/>
          <w:b/>
          <w:color w:val="1F497D" w:themeColor="text2"/>
          <w:sz w:val="56"/>
          <w:szCs w:val="56"/>
        </w:rPr>
        <w:t xml:space="preserve">For </w:t>
      </w:r>
      <w:r w:rsidR="0098697B">
        <w:rPr>
          <w:rFonts w:ascii="Times New Roman" w:hAnsi="Times New Roman"/>
          <w:b/>
          <w:color w:val="1F497D" w:themeColor="text2"/>
          <w:sz w:val="56"/>
          <w:szCs w:val="56"/>
        </w:rPr>
        <w:t>Arkansas</w:t>
      </w:r>
      <w:r>
        <w:rPr>
          <w:rFonts w:ascii="Times New Roman" w:hAnsi="Times New Roman"/>
          <w:b/>
          <w:color w:val="1F497D" w:themeColor="text2"/>
          <w:sz w:val="56"/>
          <w:szCs w:val="56"/>
        </w:rPr>
        <w:t>’ Federally Facilitated</w:t>
      </w:r>
      <w:r w:rsidR="0098697B">
        <w:rPr>
          <w:rFonts w:ascii="Times New Roman" w:hAnsi="Times New Roman"/>
          <w:b/>
          <w:color w:val="1F497D" w:themeColor="text2"/>
          <w:sz w:val="56"/>
          <w:szCs w:val="56"/>
        </w:rPr>
        <w:t xml:space="preserve"> </w:t>
      </w:r>
      <w:r>
        <w:rPr>
          <w:rFonts w:ascii="Times New Roman" w:hAnsi="Times New Roman"/>
          <w:b/>
          <w:color w:val="1F497D" w:themeColor="text2"/>
          <w:sz w:val="56"/>
          <w:szCs w:val="56"/>
        </w:rPr>
        <w:t xml:space="preserve">Health Benefits </w:t>
      </w:r>
      <w:r w:rsidR="0098697B">
        <w:rPr>
          <w:rFonts w:ascii="Times New Roman" w:hAnsi="Times New Roman"/>
          <w:b/>
          <w:color w:val="1F497D" w:themeColor="text2"/>
          <w:sz w:val="56"/>
          <w:szCs w:val="56"/>
        </w:rPr>
        <w:t>Exchange</w:t>
      </w:r>
    </w:p>
    <w:p w:rsidR="0098697B" w:rsidRDefault="0098697B" w:rsidP="0098697B"/>
    <w:p w:rsidR="0098697B" w:rsidRDefault="0098697B" w:rsidP="0098697B"/>
    <w:p w:rsidR="0098697B" w:rsidRPr="0098697B" w:rsidRDefault="0098697B" w:rsidP="0098697B"/>
    <w:p w:rsidR="00D8291F" w:rsidRDefault="00D8291F" w:rsidP="00AB104A">
      <w:pPr>
        <w:pStyle w:val="Subtitle"/>
        <w:jc w:val="right"/>
        <w:rPr>
          <w:rFonts w:ascii="Times New Roman" w:hAnsi="Times New Roman"/>
          <w:b/>
          <w:color w:val="1F497D" w:themeColor="text2"/>
          <w:sz w:val="44"/>
          <w:szCs w:val="44"/>
        </w:rPr>
      </w:pPr>
    </w:p>
    <w:p w:rsidR="0098697B" w:rsidRPr="0098697B" w:rsidRDefault="0098697B" w:rsidP="0098697B"/>
    <w:p w:rsidR="00D8291F" w:rsidRDefault="00D8291F" w:rsidP="00AB104A">
      <w:pPr>
        <w:pStyle w:val="Subtitle"/>
        <w:jc w:val="right"/>
        <w:rPr>
          <w:rFonts w:ascii="Times New Roman" w:hAnsi="Times New Roman"/>
          <w:b/>
          <w:color w:val="1F497D" w:themeColor="text2"/>
          <w:sz w:val="44"/>
          <w:szCs w:val="44"/>
        </w:rPr>
      </w:pPr>
    </w:p>
    <w:p w:rsidR="008438E9" w:rsidRPr="00AB104A" w:rsidRDefault="004335A1" w:rsidP="00AB104A">
      <w:pPr>
        <w:pStyle w:val="Subtitle"/>
        <w:jc w:val="right"/>
        <w:rPr>
          <w:rFonts w:ascii="Times New Roman" w:hAnsi="Times New Roman"/>
          <w:b/>
          <w:color w:val="1F497D" w:themeColor="text2"/>
          <w:sz w:val="44"/>
          <w:szCs w:val="44"/>
        </w:rPr>
      </w:pPr>
      <w:r>
        <w:rPr>
          <w:rFonts w:ascii="Times New Roman" w:hAnsi="Times New Roman"/>
          <w:b/>
          <w:color w:val="1F497D" w:themeColor="text2"/>
          <w:sz w:val="44"/>
          <w:szCs w:val="44"/>
        </w:rPr>
        <w:t>May 29</w:t>
      </w:r>
      <w:r w:rsidR="00AB104A" w:rsidRPr="00AB104A">
        <w:rPr>
          <w:rFonts w:ascii="Times New Roman" w:hAnsi="Times New Roman"/>
          <w:b/>
          <w:color w:val="1F497D" w:themeColor="text2"/>
          <w:sz w:val="44"/>
          <w:szCs w:val="44"/>
        </w:rPr>
        <w:t>, 2012</w:t>
      </w:r>
    </w:p>
    <w:p w:rsidR="00AB104A" w:rsidRPr="00AB104A" w:rsidRDefault="00AB104A" w:rsidP="00AB104A"/>
    <w:p w:rsidR="00AB104A" w:rsidRDefault="00AB104A" w:rsidP="00AB104A">
      <w:pPr>
        <w:tabs>
          <w:tab w:val="left" w:pos="6013"/>
        </w:tabs>
        <w:rPr>
          <w:rFonts w:ascii="Times New Roman" w:hAnsi="Times New Roman"/>
        </w:rPr>
        <w:sectPr w:rsidR="00AB104A" w:rsidSect="008D5F67">
          <w:footerReference w:type="default" r:id="rId8"/>
          <w:headerReference w:type="first" r:id="rId9"/>
          <w:pgSz w:w="12240" w:h="15840"/>
          <w:pgMar w:top="1440" w:right="1440" w:bottom="1440" w:left="1440" w:header="0" w:footer="720" w:gutter="0"/>
          <w:pgNumType w:fmt="lowerRoman" w:start="1"/>
          <w:cols w:space="720"/>
          <w:docGrid w:linePitch="360"/>
        </w:sectPr>
      </w:pPr>
    </w:p>
    <w:p w:rsidR="00AE7DD0" w:rsidRDefault="00AE7DD0" w:rsidP="00CC7753">
      <w:pPr>
        <w:pStyle w:val="Heading1"/>
      </w:pPr>
      <w:bookmarkStart w:id="0" w:name="_Toc316415727"/>
      <w:r>
        <w:lastRenderedPageBreak/>
        <w:t>Introduction</w:t>
      </w:r>
      <w:bookmarkEnd w:id="0"/>
    </w:p>
    <w:p w:rsidR="00CE6E44" w:rsidRDefault="00AE7DD0" w:rsidP="00AE7DD0">
      <w:pPr>
        <w:pStyle w:val="Paragraph"/>
      </w:pPr>
      <w:r>
        <w:t>The purpose of this document is to pro</w:t>
      </w:r>
      <w:r w:rsidR="00E07947">
        <w:t xml:space="preserve">vide </w:t>
      </w:r>
      <w:r w:rsidR="00CE6E44">
        <w:t>the Arkansas Plan Management Advisory Committee</w:t>
      </w:r>
      <w:r w:rsidR="001B5378">
        <w:t xml:space="preserve"> and Health Benefit Exchange Steering Committee</w:t>
      </w:r>
      <w:r w:rsidR="00157C3B">
        <w:t xml:space="preserve"> with </w:t>
      </w:r>
      <w:r>
        <w:t>in</w:t>
      </w:r>
      <w:r w:rsidR="00CE6E44">
        <w:t xml:space="preserve">formation to </w:t>
      </w:r>
      <w:r w:rsidR="00780BA1">
        <w:t xml:space="preserve">assist in </w:t>
      </w:r>
      <w:r w:rsidR="00CE6E44">
        <w:t>recommend</w:t>
      </w:r>
      <w:r w:rsidR="00780BA1">
        <w:t>ing</w:t>
      </w:r>
      <w:r w:rsidR="00CE6E44">
        <w:t xml:space="preserve"> a plan to serve as the benchm</w:t>
      </w:r>
      <w:r w:rsidR="00384929">
        <w:t>ark for the e</w:t>
      </w:r>
      <w:r w:rsidR="00CE6E44">
        <w:t>sse</w:t>
      </w:r>
      <w:r w:rsidR="00384929">
        <w:t>ntial health b</w:t>
      </w:r>
      <w:r w:rsidR="00CE6E44">
        <w:t>enefits package</w:t>
      </w:r>
      <w:r w:rsidR="008D4AD1">
        <w:t xml:space="preserve"> for the Federally Facilitated </w:t>
      </w:r>
      <w:r w:rsidR="00157C3B">
        <w:t xml:space="preserve">Partnership </w:t>
      </w:r>
      <w:r w:rsidR="00384929">
        <w:t>Exchange</w:t>
      </w:r>
      <w:r w:rsidR="00157C3B">
        <w:t xml:space="preserve"> (FFE)</w:t>
      </w:r>
      <w:r w:rsidR="00384929">
        <w:t>.</w:t>
      </w:r>
    </w:p>
    <w:p w:rsidR="008F2B5A" w:rsidRDefault="00AE7DD0" w:rsidP="00AE7DD0">
      <w:pPr>
        <w:pStyle w:val="Paragraph"/>
      </w:pPr>
      <w:r>
        <w:t>Specifically, this report summarizes: 1) the essential health benefits (EHB) requirements set forth in federal law; 2) recommendations from the U.S. Department of Labor (DOL) and the Institute of Medicine (IOM) on an approach fo</w:t>
      </w:r>
      <w:r w:rsidR="008F2B5A">
        <w:t xml:space="preserve">r defining the EHB package, </w:t>
      </w:r>
      <w:r w:rsidR="00E07947">
        <w:t xml:space="preserve">and </w:t>
      </w:r>
      <w:r>
        <w:t xml:space="preserve">3) guidance from the </w:t>
      </w:r>
      <w:r w:rsidRPr="007A1369">
        <w:t>U</w:t>
      </w:r>
      <w:r>
        <w:t>.</w:t>
      </w:r>
      <w:r w:rsidRPr="007A1369">
        <w:t>S</w:t>
      </w:r>
      <w:r>
        <w:t>.</w:t>
      </w:r>
      <w:r w:rsidRPr="007A1369">
        <w:t xml:space="preserve"> Department of Health and Human Services (HHS)</w:t>
      </w:r>
      <w:r>
        <w:t xml:space="preserve"> to stat</w:t>
      </w:r>
      <w:r w:rsidR="008F2B5A">
        <w:t>es on developing an</w:t>
      </w:r>
      <w:r w:rsidR="00E07947">
        <w:t xml:space="preserve"> EHB package.</w:t>
      </w:r>
    </w:p>
    <w:p w:rsidR="00AE7DD0" w:rsidRDefault="00AE7DD0" w:rsidP="00AE7DD0">
      <w:pPr>
        <w:pStyle w:val="Paragraph"/>
      </w:pPr>
      <w:r>
        <w:t>This report also describes the ten</w:t>
      </w:r>
      <w:r w:rsidR="00E07947">
        <w:t xml:space="preserve"> categories of services that the Affordable Care Act requires to be included in the EHB package and </w:t>
      </w:r>
      <w:r w:rsidR="00D9791B">
        <w:t xml:space="preserve">the </w:t>
      </w:r>
      <w:r w:rsidR="00E07947">
        <w:t xml:space="preserve">sixteen </w:t>
      </w:r>
      <w:r w:rsidR="00D9791B">
        <w:t>benefits that are mandated</w:t>
      </w:r>
      <w:r w:rsidR="00E07947">
        <w:t xml:space="preserve"> to be covered</w:t>
      </w:r>
      <w:r w:rsidR="00D9791B">
        <w:t xml:space="preserve"> by Arkansas</w:t>
      </w:r>
      <w:r>
        <w:t xml:space="preserve"> State l</w:t>
      </w:r>
      <w:r w:rsidR="00E07947">
        <w:t xml:space="preserve">aw.  Finally, this report provides a benefit inventory of the </w:t>
      </w:r>
      <w:r>
        <w:t>potential benchmark plans currently of</w:t>
      </w:r>
      <w:r w:rsidR="00D9791B">
        <w:t>fered within the State of Arkansas</w:t>
      </w:r>
      <w:r w:rsidR="00E07947">
        <w:t xml:space="preserve"> to determine if they meet federal and state requirements</w:t>
      </w:r>
      <w:r>
        <w:t>.</w:t>
      </w:r>
      <w:r w:rsidR="00E07947">
        <w:t xml:space="preserve"> This inventory also provides an opportunity to identify differences among the seven plans.</w:t>
      </w:r>
      <w:r w:rsidR="00B44923">
        <w:t xml:space="preserve"> </w:t>
      </w:r>
      <w:r w:rsidR="00E07947">
        <w:t>Near the end of the paper, t</w:t>
      </w:r>
      <w:r w:rsidR="00B44923">
        <w:t xml:space="preserve">he </w:t>
      </w:r>
      <w:r w:rsidR="00E07947">
        <w:t xml:space="preserve">policy and cost </w:t>
      </w:r>
      <w:r w:rsidR="00B44923">
        <w:t>implications of choosing any one of these seven eligible benchmarks to serve as the essential b</w:t>
      </w:r>
      <w:r w:rsidR="008D4AD1">
        <w:t xml:space="preserve">enefits package of the </w:t>
      </w:r>
      <w:r w:rsidR="00B44923">
        <w:t>Exchange will be considered.</w:t>
      </w:r>
    </w:p>
    <w:p w:rsidR="000547F4" w:rsidRDefault="003C3C60" w:rsidP="00AE7DD0">
      <w:pPr>
        <w:pStyle w:val="Paragraph"/>
      </w:pPr>
      <w:r>
        <w:t>Several plan design components are</w:t>
      </w:r>
      <w:r w:rsidR="000547F4">
        <w:t xml:space="preserve"> out of scope in select</w:t>
      </w:r>
      <w:r w:rsidR="00E07947">
        <w:t xml:space="preserve">ing essential health benefits, </w:t>
      </w:r>
      <w:r w:rsidR="00B44923">
        <w:t>most notably m</w:t>
      </w:r>
      <w:r w:rsidR="000547F4">
        <w:t>e</w:t>
      </w:r>
      <w:r w:rsidR="00B44923">
        <w:t>mber cost sharing provisions</w:t>
      </w:r>
      <w:r w:rsidR="00780BA1">
        <w:t>.</w:t>
      </w:r>
      <w:r w:rsidR="00B44923">
        <w:t>. Those components of plan design may be proposed by issuers as they respond to the actuarial requirements of Exchange plan tiers (the “metal” levels that differentiate bronze, silver, gold and platinum offerings inside the Exchange). Still, the essential benefits package shapes those tiers by establishing the “standard plan”</w:t>
      </w:r>
      <w:r>
        <w:t xml:space="preserve"> against which </w:t>
      </w:r>
      <w:r w:rsidR="00B44923">
        <w:t>plan tiers are measured.</w:t>
      </w:r>
    </w:p>
    <w:p w:rsidR="00B44923" w:rsidRDefault="00B44923" w:rsidP="00AE7DD0">
      <w:pPr>
        <w:pStyle w:val="Paragraph"/>
      </w:pPr>
      <w:r>
        <w:t xml:space="preserve">Even so, issuers will have flexibility in </w:t>
      </w:r>
      <w:r w:rsidR="006F7D90">
        <w:t xml:space="preserve">proposing various benefit mixes that are “substantially equivalent” to the selected benchmark plan by maintaining </w:t>
      </w:r>
      <w:r w:rsidR="003C3C60">
        <w:t xml:space="preserve">a </w:t>
      </w:r>
      <w:r w:rsidR="00E07947">
        <w:t>comparable actuarial value to the standard plan.</w:t>
      </w:r>
    </w:p>
    <w:p w:rsidR="00B44923" w:rsidRDefault="006F7D90" w:rsidP="00AE7DD0">
      <w:pPr>
        <w:pStyle w:val="Paragraph"/>
      </w:pPr>
      <w:r>
        <w:t xml:space="preserve">Choosing a state benchmark to serve as the essential benefits package </w:t>
      </w:r>
      <w:r w:rsidR="008D4AD1">
        <w:t xml:space="preserve">of the Federally Facilitated </w:t>
      </w:r>
      <w:r w:rsidR="00DE1B25">
        <w:t xml:space="preserve">Partnership </w:t>
      </w:r>
      <w:r>
        <w:t>Exchange is an important first step in establishing the certification criteria for participating plans. The decision also poses larger pol</w:t>
      </w:r>
      <w:r w:rsidR="003C3C60">
        <w:t xml:space="preserve">icy implications </w:t>
      </w:r>
      <w:r>
        <w:t>since federal law requires the essential health benefits package to be the “floor” for coverage in the individual and small group market both i</w:t>
      </w:r>
      <w:r w:rsidR="001B3CFB">
        <w:t>nside and outside the Exchange, for any plan that would satisfy the individual mandate.</w:t>
      </w:r>
    </w:p>
    <w:p w:rsidR="006F7D90" w:rsidRDefault="006F7D90" w:rsidP="00AE7DD0">
      <w:pPr>
        <w:pStyle w:val="Paragraph"/>
      </w:pPr>
      <w:r>
        <w:t xml:space="preserve">Further, the decision </w:t>
      </w:r>
      <w:r w:rsidR="00780BA1">
        <w:t xml:space="preserve">is a starting point in any effort that may eventually be made to </w:t>
      </w:r>
      <w:r>
        <w:t>align and integrat</w:t>
      </w:r>
      <w:r w:rsidR="00780BA1">
        <w:t xml:space="preserve">e </w:t>
      </w:r>
      <w:r w:rsidR="008D4AD1">
        <w:t>the</w:t>
      </w:r>
      <w:r w:rsidR="005F0243">
        <w:t xml:space="preserve"> Exchange and </w:t>
      </w:r>
      <w:r>
        <w:t>Medica</w:t>
      </w:r>
      <w:r w:rsidR="005F0243">
        <w:t>id. M</w:t>
      </w:r>
      <w:r>
        <w:t>any non-disabled l</w:t>
      </w:r>
      <w:r w:rsidR="00156785">
        <w:t xml:space="preserve">ow-income </w:t>
      </w:r>
      <w:r w:rsidR="00780BA1">
        <w:t xml:space="preserve">working families may transition </w:t>
      </w:r>
      <w:r w:rsidR="00156785">
        <w:t xml:space="preserve">between </w:t>
      </w:r>
      <w:r w:rsidR="005F0243">
        <w:t>Exchange and Medicaid coverage. B</w:t>
      </w:r>
      <w:r w:rsidR="00156785">
        <w:t>ene</w:t>
      </w:r>
      <w:r w:rsidR="005F0243">
        <w:t>fit alignment may be significant</w:t>
      </w:r>
      <w:r w:rsidR="003C3C60">
        <w:t xml:space="preserve"> </w:t>
      </w:r>
      <w:r w:rsidR="00156785">
        <w:t>to facilit</w:t>
      </w:r>
      <w:r w:rsidR="005F0243">
        <w:t xml:space="preserve">ating continuity of care and assuring that </w:t>
      </w:r>
      <w:r w:rsidR="00156785">
        <w:t>health care benefits do not decrease when househ</w:t>
      </w:r>
      <w:r w:rsidR="001A1DED">
        <w:t xml:space="preserve">old income rises above </w:t>
      </w:r>
      <w:r w:rsidR="00156785">
        <w:t>poverty level</w:t>
      </w:r>
      <w:r w:rsidR="001A1DED">
        <w:t>s</w:t>
      </w:r>
      <w:r w:rsidR="00156785">
        <w:t>.</w:t>
      </w:r>
    </w:p>
    <w:p w:rsidR="00AE7DD0" w:rsidRDefault="00AE7DD0" w:rsidP="00AE7DD0">
      <w:pPr>
        <w:pStyle w:val="Paragraph"/>
      </w:pPr>
    </w:p>
    <w:p w:rsidR="00AE7DD0" w:rsidRPr="00AE7DD0" w:rsidRDefault="00AE7DD0" w:rsidP="00AE7DD0"/>
    <w:p w:rsidR="00F5288E" w:rsidRPr="008D5F67" w:rsidRDefault="00ED6A91" w:rsidP="00CC7753">
      <w:pPr>
        <w:pStyle w:val="Heading1"/>
      </w:pPr>
      <w:bookmarkStart w:id="1" w:name="_Toc316415728"/>
      <w:r>
        <w:lastRenderedPageBreak/>
        <w:t>Guidance on Essential Health Benefits</w:t>
      </w:r>
      <w:bookmarkEnd w:id="1"/>
    </w:p>
    <w:p w:rsidR="00D8291F" w:rsidRDefault="00D8291F" w:rsidP="005D1192">
      <w:pPr>
        <w:pStyle w:val="Heading2"/>
      </w:pPr>
      <w:bookmarkStart w:id="2" w:name="_Toc316415729"/>
      <w:r>
        <w:t>ACA Requirements</w:t>
      </w:r>
      <w:bookmarkEnd w:id="2"/>
    </w:p>
    <w:p w:rsidR="00ED6A91" w:rsidRDefault="007A1369" w:rsidP="007A1369">
      <w:pPr>
        <w:pStyle w:val="Paragraph"/>
      </w:pPr>
      <w:r w:rsidRPr="00FC295E">
        <w:t xml:space="preserve">Section 1302(b)(2) of the Affordable Care Act (ACA) requires that any health insurance plan that is offered to an individual or small </w:t>
      </w:r>
      <w:r w:rsidRPr="007A1369">
        <w:t>business</w:t>
      </w:r>
      <w:r w:rsidRPr="00FC295E">
        <w:t xml:space="preserve"> must cover the ten broad categories of services that are listed below.  This list applies to </w:t>
      </w:r>
      <w:r w:rsidR="00DE1B25">
        <w:t>any plan</w:t>
      </w:r>
      <w:r w:rsidRPr="00FC295E">
        <w:t xml:space="preserve"> offered inside and outside of the Exchange</w:t>
      </w:r>
      <w:r w:rsidR="00DE1B25">
        <w:t xml:space="preserve"> that is being purchased to satisfy the individual mandate</w:t>
      </w:r>
      <w:r w:rsidRPr="00FC295E">
        <w:t xml:space="preserve"> and represents the </w:t>
      </w:r>
      <w:r w:rsidRPr="00FC295E">
        <w:rPr>
          <w:b/>
        </w:rPr>
        <w:t>minimum services that must be covered</w:t>
      </w:r>
      <w:r w:rsidRPr="00FC295E">
        <w:t xml:space="preserve">.  Plans may cover additional services at their own discretion.  </w:t>
      </w:r>
    </w:p>
    <w:p w:rsidR="007A1369" w:rsidRPr="007A1369" w:rsidRDefault="007A1369" w:rsidP="00E7230A">
      <w:pPr>
        <w:pStyle w:val="Numbering"/>
      </w:pPr>
      <w:r w:rsidRPr="007A1369">
        <w:t>Ambulatory patient services</w:t>
      </w:r>
      <w:r>
        <w:t>;</w:t>
      </w:r>
    </w:p>
    <w:p w:rsidR="007A1369" w:rsidRPr="007A1369" w:rsidRDefault="007A1369" w:rsidP="00E7230A">
      <w:pPr>
        <w:pStyle w:val="Numbering"/>
      </w:pPr>
      <w:r w:rsidRPr="007A1369">
        <w:t>Emergency services</w:t>
      </w:r>
      <w:r>
        <w:t>;</w:t>
      </w:r>
    </w:p>
    <w:p w:rsidR="007A1369" w:rsidRPr="007A1369" w:rsidRDefault="007A1369" w:rsidP="00E7230A">
      <w:pPr>
        <w:pStyle w:val="Numbering"/>
      </w:pPr>
      <w:r w:rsidRPr="007A1369">
        <w:t>Hospitalization</w:t>
      </w:r>
      <w:r>
        <w:t>;</w:t>
      </w:r>
    </w:p>
    <w:p w:rsidR="007A1369" w:rsidRPr="007A1369" w:rsidRDefault="007A1369" w:rsidP="00E7230A">
      <w:pPr>
        <w:pStyle w:val="Numbering"/>
      </w:pPr>
      <w:r w:rsidRPr="007A1369">
        <w:t>Maternity and newborn care</w:t>
      </w:r>
      <w:r>
        <w:t>;</w:t>
      </w:r>
    </w:p>
    <w:p w:rsidR="007A1369" w:rsidRPr="007A1369" w:rsidRDefault="007A1369" w:rsidP="00E7230A">
      <w:pPr>
        <w:pStyle w:val="Numbering"/>
      </w:pPr>
      <w:r w:rsidRPr="007A1369">
        <w:t>Mental health and substance use disorder services, including behavioral health treatment</w:t>
      </w:r>
      <w:r>
        <w:t>;</w:t>
      </w:r>
    </w:p>
    <w:p w:rsidR="007A1369" w:rsidRPr="007A1369" w:rsidRDefault="007A1369" w:rsidP="00E7230A">
      <w:pPr>
        <w:pStyle w:val="Numbering"/>
      </w:pPr>
      <w:r w:rsidRPr="007A1369">
        <w:t>Prescription drugs</w:t>
      </w:r>
      <w:r>
        <w:t>;</w:t>
      </w:r>
    </w:p>
    <w:p w:rsidR="007A1369" w:rsidRPr="007A1369" w:rsidRDefault="007A1369" w:rsidP="00E7230A">
      <w:pPr>
        <w:pStyle w:val="Numbering"/>
      </w:pPr>
      <w:r w:rsidRPr="007A1369">
        <w:t>Rehabilitative and habilitative services and devices</w:t>
      </w:r>
      <w:r>
        <w:t>;</w:t>
      </w:r>
    </w:p>
    <w:p w:rsidR="007A1369" w:rsidRPr="007A1369" w:rsidRDefault="007A1369" w:rsidP="00E7230A">
      <w:pPr>
        <w:pStyle w:val="Numbering"/>
      </w:pPr>
      <w:r w:rsidRPr="007A1369">
        <w:t>Laboratory services</w:t>
      </w:r>
      <w:r>
        <w:t>;</w:t>
      </w:r>
    </w:p>
    <w:p w:rsidR="007A1369" w:rsidRPr="007A1369" w:rsidRDefault="007A1369" w:rsidP="00E7230A">
      <w:pPr>
        <w:pStyle w:val="Numbering"/>
      </w:pPr>
      <w:r w:rsidRPr="007A1369">
        <w:t>Preventive and wellness services</w:t>
      </w:r>
      <w:r>
        <w:t xml:space="preserve"> and chronic disease management; and</w:t>
      </w:r>
    </w:p>
    <w:p w:rsidR="007A1369" w:rsidRDefault="007A1369" w:rsidP="00E7230A">
      <w:pPr>
        <w:pStyle w:val="Numbering"/>
      </w:pPr>
      <w:r w:rsidRPr="007A1369">
        <w:t>Pediatric services, including oral and vision care</w:t>
      </w:r>
      <w:r>
        <w:t>.</w:t>
      </w:r>
    </w:p>
    <w:p w:rsidR="00BE2E9B" w:rsidRPr="007A1369" w:rsidRDefault="007A1369" w:rsidP="007A1369">
      <w:pPr>
        <w:pStyle w:val="Paragraph"/>
      </w:pPr>
      <w:r w:rsidRPr="007A1369">
        <w:t xml:space="preserve">The ACA required HHS to provide more details on the </w:t>
      </w:r>
      <w:r w:rsidR="00E7230A">
        <w:t>ten</w:t>
      </w:r>
      <w:r w:rsidRPr="007A1369">
        <w:t xml:space="preserve"> </w:t>
      </w:r>
      <w:r w:rsidR="00E7230A">
        <w:t xml:space="preserve">service </w:t>
      </w:r>
      <w:r w:rsidRPr="007A1369">
        <w:t xml:space="preserve">categories in order to create a comprehensive EHB package.  According to the ACA, the EHB package is intended to represent “the scope of benefits provided under a typical employer plan.”  </w:t>
      </w:r>
    </w:p>
    <w:p w:rsidR="00EF3283" w:rsidRDefault="007A1369" w:rsidP="007A1369">
      <w:pPr>
        <w:pStyle w:val="Paragraph"/>
      </w:pPr>
      <w:r w:rsidRPr="007A1369">
        <w:t>Section 1311(d)(3)(B) of the ACA indicates that states may be required to defray the cost of state mandated benefits in excess</w:t>
      </w:r>
      <w:r w:rsidR="00EF3283">
        <w:t xml:space="preserve"> of the ten benefit categories. Because HHS has not yet issued guidance to specify procedure-level requirements that must be included for a state benchmark to qualify as meeting each </w:t>
      </w:r>
      <w:r w:rsidR="005F0243">
        <w:t>broad EHB category, determining if state mandates exceed federal EHB requirements</w:t>
      </w:r>
      <w:r w:rsidR="00EF3283">
        <w:t xml:space="preserve"> remains open to interpretation. </w:t>
      </w:r>
    </w:p>
    <w:p w:rsidR="00EF3283" w:rsidRDefault="00E7230A" w:rsidP="007A1369">
      <w:pPr>
        <w:pStyle w:val="Paragraph"/>
      </w:pPr>
      <w:r>
        <w:t xml:space="preserve">The State of </w:t>
      </w:r>
      <w:r w:rsidR="008F2B5A">
        <w:t>Arkansas’</w:t>
      </w:r>
      <w:r w:rsidR="007A1369" w:rsidRPr="007A1369">
        <w:t xml:space="preserve"> </w:t>
      </w:r>
      <w:r w:rsidR="00EF3283">
        <w:t xml:space="preserve">sixteen </w:t>
      </w:r>
      <w:r w:rsidR="007A1369" w:rsidRPr="007A1369">
        <w:t>mandated benefits</w:t>
      </w:r>
      <w:r w:rsidR="00D32678">
        <w:t xml:space="preserve"> </w:t>
      </w:r>
      <w:r w:rsidR="007A1369" w:rsidRPr="007A1369">
        <w:t xml:space="preserve">are </w:t>
      </w:r>
      <w:r>
        <w:t>identified</w:t>
      </w:r>
      <w:r w:rsidR="007A1369" w:rsidRPr="007A1369">
        <w:t xml:space="preserve"> in </w:t>
      </w:r>
      <w:r w:rsidR="001B3612">
        <w:t>Attachment 2</w:t>
      </w:r>
      <w:r w:rsidR="00D32678">
        <w:t xml:space="preserve">.  </w:t>
      </w:r>
      <w:r w:rsidR="00EF3283">
        <w:t>Of all these man</w:t>
      </w:r>
      <w:r w:rsidR="000C43CC">
        <w:t>dates, the two that are</w:t>
      </w:r>
      <w:r w:rsidR="00780BA1">
        <w:t xml:space="preserve"> likely to be</w:t>
      </w:r>
      <w:r w:rsidR="00EF3283">
        <w:t xml:space="preserve"> considered </w:t>
      </w:r>
      <w:r w:rsidR="00780BA1">
        <w:t xml:space="preserve">by the federal government to be </w:t>
      </w:r>
      <w:r w:rsidR="00EF3283">
        <w:t>in e</w:t>
      </w:r>
      <w:r w:rsidR="000C43CC">
        <w:t>xcess of federal requirements are</w:t>
      </w:r>
      <w:r w:rsidR="00EF3283">
        <w:t xml:space="preserve"> cove</w:t>
      </w:r>
      <w:r w:rsidR="000C43CC">
        <w:t>rage of in-vitro fertilization and applied behavior analysis for autism spectrum disorder.</w:t>
      </w:r>
    </w:p>
    <w:p w:rsidR="00EF3283" w:rsidRDefault="00EF3283" w:rsidP="007A1369">
      <w:pPr>
        <w:pStyle w:val="Paragraph"/>
      </w:pPr>
    </w:p>
    <w:p w:rsidR="006B1B5F" w:rsidRDefault="006B1B5F" w:rsidP="007A1369">
      <w:pPr>
        <w:pStyle w:val="Paragraph"/>
      </w:pPr>
    </w:p>
    <w:p w:rsidR="006B1B5F" w:rsidRPr="00780BA1" w:rsidRDefault="006B1B5F" w:rsidP="00780BA1">
      <w:pPr>
        <w:pStyle w:val="Default"/>
        <w:jc w:val="both"/>
        <w:rPr>
          <w:sz w:val="22"/>
          <w:szCs w:val="22"/>
        </w:rPr>
      </w:pPr>
      <w:r w:rsidRPr="00780BA1">
        <w:rPr>
          <w:sz w:val="22"/>
          <w:szCs w:val="22"/>
        </w:rPr>
        <w:t>However, the Arkansas state mandate for autism treatment was enacted following passage of the Affordable Care Act, and it includes language to exempt the Exchange plans from the requirement if the requirement is not specified as an “essential health benefit.” The language reads thus:</w:t>
      </w:r>
    </w:p>
    <w:p w:rsidR="006B1B5F" w:rsidRPr="00780BA1" w:rsidRDefault="006B1B5F" w:rsidP="00780BA1">
      <w:pPr>
        <w:pStyle w:val="Default"/>
        <w:jc w:val="both"/>
        <w:rPr>
          <w:sz w:val="22"/>
          <w:szCs w:val="22"/>
        </w:rPr>
      </w:pPr>
    </w:p>
    <w:p w:rsidR="006B1B5F" w:rsidRPr="00780BA1" w:rsidRDefault="006B1B5F" w:rsidP="00780BA1">
      <w:pPr>
        <w:pStyle w:val="Default"/>
        <w:jc w:val="both"/>
        <w:rPr>
          <w:sz w:val="22"/>
          <w:szCs w:val="22"/>
        </w:rPr>
      </w:pPr>
      <w:r w:rsidRPr="00780BA1">
        <w:rPr>
          <w:sz w:val="22"/>
          <w:szCs w:val="22"/>
        </w:rPr>
        <w:t xml:space="preserve">i) </w:t>
      </w:r>
      <w:r w:rsidR="001B3612" w:rsidRPr="00780BA1">
        <w:rPr>
          <w:sz w:val="22"/>
          <w:szCs w:val="22"/>
        </w:rPr>
        <w:t xml:space="preserve"> </w:t>
      </w:r>
      <w:r w:rsidRPr="00780BA1">
        <w:rPr>
          <w:sz w:val="22"/>
          <w:szCs w:val="22"/>
        </w:rPr>
        <w:t xml:space="preserve">On and after January 1, 2014: </w:t>
      </w:r>
    </w:p>
    <w:p w:rsidR="006B1B5F" w:rsidRPr="00780BA1" w:rsidRDefault="006B1B5F" w:rsidP="00780BA1">
      <w:pPr>
        <w:pStyle w:val="Default"/>
        <w:jc w:val="both"/>
        <w:rPr>
          <w:sz w:val="22"/>
          <w:szCs w:val="22"/>
        </w:rPr>
      </w:pPr>
    </w:p>
    <w:p w:rsidR="006B1B5F" w:rsidRPr="00780BA1" w:rsidRDefault="006B1B5F" w:rsidP="00780BA1">
      <w:pPr>
        <w:pStyle w:val="Default"/>
        <w:numPr>
          <w:ilvl w:val="0"/>
          <w:numId w:val="18"/>
        </w:numPr>
        <w:jc w:val="both"/>
        <w:rPr>
          <w:sz w:val="22"/>
          <w:szCs w:val="22"/>
        </w:rPr>
      </w:pPr>
      <w:r w:rsidRPr="00780BA1">
        <w:rPr>
          <w:sz w:val="22"/>
          <w:szCs w:val="22"/>
        </w:rPr>
        <w:t>To the extent that this section requires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by a health care insurer in this state through the state medical exchange; and</w:t>
      </w:r>
    </w:p>
    <w:p w:rsidR="006B1B5F" w:rsidRPr="00780BA1" w:rsidRDefault="006B1B5F" w:rsidP="00780BA1">
      <w:pPr>
        <w:pStyle w:val="Default"/>
        <w:ind w:left="720"/>
        <w:jc w:val="both"/>
        <w:rPr>
          <w:sz w:val="22"/>
          <w:szCs w:val="22"/>
        </w:rPr>
      </w:pPr>
      <w:r w:rsidRPr="00780BA1">
        <w:rPr>
          <w:sz w:val="22"/>
          <w:szCs w:val="22"/>
        </w:rPr>
        <w:t xml:space="preserve"> </w:t>
      </w:r>
    </w:p>
    <w:p w:rsidR="006B1B5F" w:rsidRPr="006B1B5F" w:rsidRDefault="006B1B5F" w:rsidP="00780BA1">
      <w:pPr>
        <w:pStyle w:val="Default"/>
        <w:ind w:firstLine="360"/>
        <w:jc w:val="both"/>
        <w:rPr>
          <w:sz w:val="22"/>
          <w:szCs w:val="22"/>
        </w:rPr>
      </w:pPr>
      <w:r w:rsidRPr="00780BA1">
        <w:rPr>
          <w:sz w:val="22"/>
          <w:szCs w:val="22"/>
        </w:rPr>
        <w:t>(2) This section continues to apply to plans offered outside the state medical exchange.</w:t>
      </w:r>
    </w:p>
    <w:p w:rsidR="00327EB4" w:rsidRDefault="008D461D" w:rsidP="007A1369">
      <w:pPr>
        <w:pStyle w:val="Paragraph"/>
      </w:pPr>
      <w:r>
        <w:t>The language in item (1) does not appear to have anticipated that the federal government would establish a process that allows each state to choose their own essential health benefits package from an existing state benchmark. In this way, if Arkansas chooses a benchmark that includes the autism mand</w:t>
      </w:r>
      <w:r w:rsidR="000428A5">
        <w:t>ate, that</w:t>
      </w:r>
      <w:r>
        <w:t xml:space="preserve"> mandate </w:t>
      </w:r>
      <w:r w:rsidR="000428A5">
        <w:t>will be considered an essential health</w:t>
      </w:r>
      <w:r w:rsidR="00130962">
        <w:t xml:space="preserve"> benefit specified in section 1302(b) of PPACA. That </w:t>
      </w:r>
      <w:r w:rsidR="000428A5">
        <w:t xml:space="preserve">appears to be </w:t>
      </w:r>
      <w:r w:rsidR="00130962">
        <w:t>the case unless the Arkansas state legislature move</w:t>
      </w:r>
      <w:r w:rsidR="000428A5">
        <w:t>s</w:t>
      </w:r>
      <w:r w:rsidR="00130962">
        <w:t xml:space="preserve"> to reverse the autism mandate.</w:t>
      </w:r>
    </w:p>
    <w:p w:rsidR="006B1B5F" w:rsidRDefault="006B1B5F" w:rsidP="007A1369">
      <w:pPr>
        <w:pStyle w:val="Paragraph"/>
      </w:pPr>
      <w:r>
        <w:t>Item (2) seems to contradict the federal emphasis on benefit parity among plans being offered inside and outside of the Exchange</w:t>
      </w:r>
      <w:r w:rsidR="000428A5">
        <w:t>.</w:t>
      </w:r>
    </w:p>
    <w:p w:rsidR="000428A5" w:rsidRDefault="000428A5" w:rsidP="007A1369">
      <w:pPr>
        <w:pStyle w:val="Paragraph"/>
      </w:pPr>
      <w:r>
        <w:t xml:space="preserve">HMOs are exempt from the in-vitro fertilization mandate in Arkansas. If a plan that includes the IVF mandate is selected as the benchmark, </w:t>
      </w:r>
      <w:r w:rsidR="005B66DF">
        <w:t>then all plans sold in the small group and individual market that can be enrolled in to satisfy the individual mandate must include IVF, including the HMO plans.</w:t>
      </w:r>
    </w:p>
    <w:p w:rsidR="005B66DF" w:rsidRDefault="005B66DF" w:rsidP="007A1369">
      <w:pPr>
        <w:pStyle w:val="Paragraph"/>
      </w:pPr>
      <w:r>
        <w:t>However, if a plan that does not include IVF as a benchmark is selected, the cost of IVF coverage in those plans that still must include IVF must be paid by the state.</w:t>
      </w:r>
    </w:p>
    <w:p w:rsidR="007A1369" w:rsidRPr="007A1369" w:rsidRDefault="007A1369" w:rsidP="007A1369">
      <w:pPr>
        <w:pStyle w:val="Paragraph"/>
      </w:pPr>
      <w:r w:rsidRPr="00FC295E">
        <w:t>After receiving input from DOL, IOM, and other stakeholders, HHS released a “benchmark” approach for defining the EHB package.  Below is a summary of the input that informed HHS’s approach and the key takeaways from this process.</w:t>
      </w:r>
    </w:p>
    <w:p w:rsidR="00F5288E" w:rsidRDefault="00ED6A91" w:rsidP="005D1192">
      <w:pPr>
        <w:pStyle w:val="Heading2"/>
      </w:pPr>
      <w:bookmarkStart w:id="3" w:name="_Toc316415730"/>
      <w:r>
        <w:t>DOL Recommendations to HHS</w:t>
      </w:r>
      <w:bookmarkEnd w:id="3"/>
    </w:p>
    <w:p w:rsidR="007A1369" w:rsidRPr="007A1369" w:rsidRDefault="007A1369" w:rsidP="007A1369">
      <w:pPr>
        <w:pStyle w:val="Paragraph"/>
      </w:pPr>
      <w:r w:rsidRPr="00FC295E">
        <w:t>The ACA directed DOL to “conduct a survey of employer-sponsored coverage to determine the benefits typically covered by employers” and report their results to HHS.  In April 2011, DOL submitted to HHS a summary of Bureau of Labor Statistics National Compensation Survey results from 2008 and 2009.  This summary included information on coverage and cost sharing by service category across employer plans.</w:t>
      </w:r>
    </w:p>
    <w:p w:rsidR="00ED6A91" w:rsidRDefault="00ED6A91" w:rsidP="005D1192">
      <w:pPr>
        <w:pStyle w:val="Heading2"/>
      </w:pPr>
      <w:bookmarkStart w:id="4" w:name="_Toc316415731"/>
      <w:r>
        <w:lastRenderedPageBreak/>
        <w:t>IOM Recommendations to HHS</w:t>
      </w:r>
      <w:bookmarkEnd w:id="4"/>
    </w:p>
    <w:p w:rsidR="007A1369" w:rsidRPr="00FC295E" w:rsidRDefault="007A1369" w:rsidP="007A1369">
      <w:pPr>
        <w:pStyle w:val="Paragraph"/>
      </w:pPr>
      <w:r w:rsidRPr="00FC295E">
        <w:t>In September 2011, IOM submitted their recommendations to HHS on how the process of defining the EHB package should be conducted.  Key aspects of their recomme</w:t>
      </w:r>
      <w:r>
        <w:t>ndations included the following:</w:t>
      </w:r>
    </w:p>
    <w:p w:rsidR="007A1369" w:rsidRPr="00FC295E" w:rsidRDefault="007A1369" w:rsidP="007A1369">
      <w:pPr>
        <w:pStyle w:val="Bullet1"/>
      </w:pPr>
      <w:r w:rsidRPr="00FC295E">
        <w:t xml:space="preserve">Start with a typical plan that is offered to </w:t>
      </w:r>
      <w:r w:rsidRPr="00FC295E">
        <w:rPr>
          <w:i/>
        </w:rPr>
        <w:t>small</w:t>
      </w:r>
      <w:r w:rsidRPr="00FC295E">
        <w:t xml:space="preserve"> employers today.</w:t>
      </w:r>
    </w:p>
    <w:p w:rsidR="007A1369" w:rsidRPr="00FC295E" w:rsidRDefault="007A1369" w:rsidP="007A1369">
      <w:pPr>
        <w:pStyle w:val="Bullet1"/>
      </w:pPr>
      <w:r w:rsidRPr="00FC295E">
        <w:t>Modify it to include the ten EHB categories.</w:t>
      </w:r>
    </w:p>
    <w:p w:rsidR="007A1369" w:rsidRPr="00FC295E" w:rsidRDefault="007A1369" w:rsidP="007A1369">
      <w:pPr>
        <w:pStyle w:val="Bullet1"/>
      </w:pPr>
      <w:r w:rsidRPr="00FC295E">
        <w:t>Refine the package so that the cost meets an affordable “target premium.”</w:t>
      </w:r>
    </w:p>
    <w:p w:rsidR="007A1369" w:rsidRPr="00FC295E" w:rsidRDefault="007A1369" w:rsidP="007A1369">
      <w:pPr>
        <w:pStyle w:val="Bullet1"/>
      </w:pPr>
      <w:r w:rsidRPr="00FC295E">
        <w:t>Create a process for updating EHB requirements based on evidence-based practices.</w:t>
      </w:r>
    </w:p>
    <w:p w:rsidR="007A1369" w:rsidRPr="00FC295E" w:rsidRDefault="007A1369" w:rsidP="007A1369">
      <w:pPr>
        <w:pStyle w:val="Bullet1"/>
      </w:pPr>
      <w:r w:rsidRPr="00FC295E">
        <w:t xml:space="preserve">Allow </w:t>
      </w:r>
      <w:r w:rsidR="00D32678">
        <w:t>s</w:t>
      </w:r>
      <w:r w:rsidRPr="00FC295E">
        <w:t>tates the flexibility to create their own EHB packages</w:t>
      </w:r>
      <w:r w:rsidR="003E154D">
        <w:t>,</w:t>
      </w:r>
      <w:r w:rsidRPr="00FC295E">
        <w:t xml:space="preserve"> as long as they meet the same standards as the federal package. </w:t>
      </w:r>
    </w:p>
    <w:p w:rsidR="007A1369" w:rsidRPr="007A1369" w:rsidRDefault="007A1369" w:rsidP="007A1369">
      <w:pPr>
        <w:pStyle w:val="Paragraph"/>
      </w:pPr>
      <w:r w:rsidRPr="00FC295E">
        <w:t xml:space="preserve">IOM cautioned that HHS and other </w:t>
      </w:r>
      <w:r w:rsidR="003E154D">
        <w:t>federal and s</w:t>
      </w:r>
      <w:r w:rsidRPr="00FC295E">
        <w:t>tate agencies must continue to develop strategies to reduce the growth of health care spending across all sectors to ensure that individual and small group plans will be able to meet affordability standards in future years.</w:t>
      </w:r>
    </w:p>
    <w:p w:rsidR="00ED6A91" w:rsidRDefault="00ED6A91" w:rsidP="005D1192">
      <w:pPr>
        <w:pStyle w:val="Heading2"/>
      </w:pPr>
      <w:bookmarkStart w:id="5" w:name="_Toc316415732"/>
      <w:r>
        <w:t>Additional Input</w:t>
      </w:r>
      <w:bookmarkEnd w:id="5"/>
    </w:p>
    <w:p w:rsidR="007A1369" w:rsidRPr="007A1369" w:rsidRDefault="007A1369" w:rsidP="007A1369">
      <w:pPr>
        <w:pStyle w:val="Paragraph"/>
      </w:pPr>
      <w:r w:rsidRPr="00FC295E">
        <w:t xml:space="preserve">HHS hosted a number of listening sessions to gain feedback from individuals, providers, </w:t>
      </w:r>
      <w:r w:rsidR="003E154D">
        <w:t>s</w:t>
      </w:r>
      <w:r w:rsidRPr="00FC295E">
        <w:t>tate officials, and other parties regarding the content of the EHB package.  Additionally, a number of states and organizations submitted letters to HHS advocating for the inclusion of specific benefits as EHB.</w:t>
      </w:r>
    </w:p>
    <w:p w:rsidR="00ED6A91" w:rsidRDefault="00ED6A91" w:rsidP="005D1192">
      <w:pPr>
        <w:pStyle w:val="Heading2"/>
      </w:pPr>
      <w:bookmarkStart w:id="6" w:name="_Toc316415733"/>
      <w:r>
        <w:t>The “Benchmark” Approach</w:t>
      </w:r>
      <w:bookmarkEnd w:id="6"/>
    </w:p>
    <w:p w:rsidR="007A1369" w:rsidRPr="00FC295E" w:rsidRDefault="007A1369" w:rsidP="007A1369">
      <w:pPr>
        <w:pStyle w:val="Paragraph"/>
      </w:pPr>
      <w:r w:rsidRPr="00FC295E">
        <w:t>Rather than defining one EHB package that would appl</w:t>
      </w:r>
      <w:r w:rsidR="00B47806">
        <w:t>y to all states, HHS has published guidance indicating</w:t>
      </w:r>
      <w:r w:rsidRPr="00FC295E">
        <w:t xml:space="preserve"> that </w:t>
      </w:r>
      <w:r w:rsidRPr="00FC295E">
        <w:rPr>
          <w:b/>
        </w:rPr>
        <w:t xml:space="preserve">each </w:t>
      </w:r>
      <w:r w:rsidR="003E154D">
        <w:rPr>
          <w:b/>
        </w:rPr>
        <w:t>s</w:t>
      </w:r>
      <w:r w:rsidRPr="00FC295E">
        <w:rPr>
          <w:b/>
        </w:rPr>
        <w:t>tate may choose its own benchmark plan</w:t>
      </w:r>
      <w:r w:rsidRPr="00FC295E">
        <w:t xml:space="preserve"> to act as the EHB for that state.  In a December 2011 </w:t>
      </w:r>
      <w:r w:rsidR="003E154D">
        <w:t>b</w:t>
      </w:r>
      <w:r w:rsidRPr="00FC295E">
        <w:t>ulletin, HHS provided four benchmark option</w:t>
      </w:r>
      <w:r w:rsidR="003E154D">
        <w:t>s from which a state can choose:</w:t>
      </w:r>
    </w:p>
    <w:p w:rsidR="007A1369" w:rsidRDefault="007A1369" w:rsidP="007A1369">
      <w:pPr>
        <w:pStyle w:val="Bullet1"/>
      </w:pPr>
      <w:r w:rsidRPr="00FC295E">
        <w:t>One of the three largest small group plans in the State by enrollment</w:t>
      </w:r>
      <w:r>
        <w:t>;</w:t>
      </w:r>
    </w:p>
    <w:p w:rsidR="007A1369" w:rsidRPr="00025CAD" w:rsidRDefault="007A1369" w:rsidP="007A1369">
      <w:pPr>
        <w:pStyle w:val="Bullet1"/>
      </w:pPr>
      <w:r w:rsidRPr="00FC295E">
        <w:t>One of the three largest State employee health plans by enrollment</w:t>
      </w:r>
      <w:r>
        <w:t>;</w:t>
      </w:r>
    </w:p>
    <w:p w:rsidR="007A1369" w:rsidRPr="00025CAD" w:rsidRDefault="007A1369" w:rsidP="007A1369">
      <w:pPr>
        <w:pStyle w:val="Bullet1"/>
      </w:pPr>
      <w:r w:rsidRPr="00FC295E">
        <w:t>One of the three largest federal employee health plan options by enrollment</w:t>
      </w:r>
      <w:r>
        <w:t>; and</w:t>
      </w:r>
    </w:p>
    <w:p w:rsidR="007A1369" w:rsidRDefault="007A1369" w:rsidP="007A1369">
      <w:pPr>
        <w:pStyle w:val="Bullet1"/>
      </w:pPr>
      <w:r w:rsidRPr="00FC295E">
        <w:t>The largest HMO plan offered in the State’s commercial market by enrollment</w:t>
      </w:r>
      <w:r>
        <w:t>.</w:t>
      </w:r>
    </w:p>
    <w:p w:rsidR="00DB3A2B" w:rsidRPr="00FC295E" w:rsidRDefault="00DB3A2B" w:rsidP="00DB3A2B">
      <w:pPr>
        <w:pStyle w:val="Paragraph"/>
      </w:pPr>
      <w:r>
        <w:t>For the purpose of choosing its benchmark plan, the Arkansas Plan Management Advisory Committee will need to select from one of the seven</w:t>
      </w:r>
      <w:r w:rsidRPr="00FC295E">
        <w:t xml:space="preserve"> insurance plans </w:t>
      </w:r>
      <w:r>
        <w:t>set out</w:t>
      </w:r>
      <w:r w:rsidRPr="00FC295E">
        <w:t xml:space="preserve"> in </w:t>
      </w:r>
      <w:r>
        <w:t>Section 4 herein</w:t>
      </w:r>
      <w:r w:rsidRPr="00FC295E">
        <w:t>.</w:t>
      </w:r>
    </w:p>
    <w:p w:rsidR="00C24C02" w:rsidRDefault="00C24C02" w:rsidP="003E154D">
      <w:pPr>
        <w:pStyle w:val="Paragraph"/>
      </w:pPr>
      <w:r>
        <w:t>The CCIIO guidance issued on December 16 made many important points in addition to specifying guidance on how states must choose the essential health benefits of their Exchange.</w:t>
      </w:r>
    </w:p>
    <w:p w:rsidR="00C24C02" w:rsidRDefault="00C24C02" w:rsidP="003E154D">
      <w:pPr>
        <w:pStyle w:val="Paragraph"/>
      </w:pPr>
      <w:r>
        <w:t xml:space="preserve">First, CCIIO noted that the DOL surveys and other information sources revealed little variation among federal, state and small group plans with regard to major categories of benefit coverage such as primary </w:t>
      </w:r>
      <w:r>
        <w:lastRenderedPageBreak/>
        <w:t>care physician, specialty physician, surgeries and procedures, inpatient and outpatient hospital, routine diagnostic examinations and prescription drug coverage.</w:t>
      </w:r>
    </w:p>
    <w:p w:rsidR="00C24C02" w:rsidRDefault="00C24C02" w:rsidP="003E154D">
      <w:pPr>
        <w:pStyle w:val="Paragraph"/>
      </w:pPr>
      <w:r>
        <w:t>CCIIO noted that the major source of variability among American health insurance plans tends to be cost sharing, not the definition of covered benefits. But as state exchanges choose their essential benefits package, cost sharing is out of scope.</w:t>
      </w:r>
    </w:p>
    <w:p w:rsidR="00C24C02" w:rsidRDefault="00EB3A57" w:rsidP="003E154D">
      <w:pPr>
        <w:pStyle w:val="Paragraph"/>
      </w:pPr>
      <w:r>
        <w:t>The December 16 CCIIO guidance also sought to shed light on the narrow benefit differences that typically exist between federal, state and small group plans in each state. A key reason for this difference is that federal employee plans and self-insured plans are exempt from state mandates. State employee plans are typically self-insured, as is the case in Arkansas.</w:t>
      </w:r>
    </w:p>
    <w:p w:rsidR="00EB3A57" w:rsidRDefault="00EB3A57" w:rsidP="003E154D">
      <w:pPr>
        <w:pStyle w:val="Paragraph"/>
      </w:pPr>
      <w:r>
        <w:t>Using the DOL survey and corroborating sources such as the Kaiser Family Foundation, CCIIO found that many states have passed mandates requiring coverage of applied behavior therapy for autism treatment as well as in-vitro fertilization for infertile couples. This is the case in Arkansas. Federal plans do not provide this coverage.</w:t>
      </w:r>
      <w:r w:rsidR="002A6671">
        <w:t xml:space="preserve"> The state employee plan in Arkansas provides coverage for autism treatment but excludes coverage of in-vitro fertilization.</w:t>
      </w:r>
      <w:r w:rsidR="00C96EEB">
        <w:t xml:space="preserve"> The CCIIO guidance went onto say that their market research concluded that coverage of in-vitro fertilization typically raises premiums by about 1% and coverage of applied behavior analysis for autism treatment typically increases premiums by 0.3%.</w:t>
      </w:r>
    </w:p>
    <w:p w:rsidR="002A6671" w:rsidRDefault="00F214EE" w:rsidP="003E154D">
      <w:pPr>
        <w:pStyle w:val="Paragraph"/>
      </w:pPr>
      <w:r>
        <w:t>CCIIO also identified benefits that are included in the national Blue Cross/Blue Shield federal employee health plan that are not included in many state small group plans. These include preventative and basic dental care, acupuncture, bariatric surgery, hearing aids and smoking cessation pro</w:t>
      </w:r>
      <w:r w:rsidR="008D4AD1">
        <w:t>grams and medications. Table 1</w:t>
      </w:r>
      <w:r>
        <w:t xml:space="preserve"> compares the benefit categories CCIIO has identified as being the most likely source of differences among the plans eligible to serve as state benchmarks for essential health benefits.</w:t>
      </w:r>
    </w:p>
    <w:p w:rsidR="00ED6A91" w:rsidRDefault="00ED6A91" w:rsidP="005D1192">
      <w:pPr>
        <w:pStyle w:val="Heading2"/>
      </w:pPr>
      <w:bookmarkStart w:id="7" w:name="_Toc316415734"/>
      <w:r>
        <w:t>Effect on Current Health Plans</w:t>
      </w:r>
      <w:bookmarkEnd w:id="7"/>
    </w:p>
    <w:p w:rsidR="007A1369" w:rsidRPr="007A1369" w:rsidRDefault="007A1369" w:rsidP="007A1369">
      <w:pPr>
        <w:pStyle w:val="Paragraph"/>
      </w:pPr>
      <w:r w:rsidRPr="00FC295E">
        <w:t xml:space="preserve">Once </w:t>
      </w:r>
      <w:r w:rsidR="003E154D">
        <w:t>a s</w:t>
      </w:r>
      <w:r w:rsidRPr="00FC295E">
        <w:t>tate has chosen a benchmark plan, all other plans in the individual and small group markets</w:t>
      </w:r>
      <w:r w:rsidR="005B66DF">
        <w:t xml:space="preserve"> that qualify to satisfy </w:t>
      </w:r>
      <w:r w:rsidRPr="00FC295E">
        <w:t xml:space="preserve"> will be required to offer benefits that are “substantially equal” to the benchmark</w:t>
      </w:r>
      <w:r w:rsidR="003E154D">
        <w:t xml:space="preserve"> plan</w:t>
      </w:r>
      <w:r w:rsidRPr="00FC295E">
        <w:t xml:space="preserve">.  Plans will have the flexibility to adjust the specific services that are included as part of the benefit, as well as any quantitative limits on certain services, as long as the coverage has the same </w:t>
      </w:r>
      <w:r w:rsidRPr="00FC295E">
        <w:rPr>
          <w:i/>
        </w:rPr>
        <w:t>value</w:t>
      </w:r>
      <w:r w:rsidRPr="00FC295E">
        <w:t xml:space="preserve"> as the benchmark</w:t>
      </w:r>
      <w:r w:rsidR="003E154D">
        <w:t xml:space="preserve"> plan</w:t>
      </w:r>
      <w:r w:rsidRPr="00FC295E">
        <w:t>.</w:t>
      </w:r>
      <w:r w:rsidR="00DB3A2B">
        <w:t xml:space="preserve"> This is noteworthy because if Arkansas selected the Blue Cross federal empl</w:t>
      </w:r>
      <w:r w:rsidR="00472118">
        <w:t xml:space="preserve">oyee plan to serve as the Exchange benchmark, then preventative and basic dental care, </w:t>
      </w:r>
      <w:r w:rsidR="00123EB4">
        <w:t xml:space="preserve">acupuncture, bariatric surgery and </w:t>
      </w:r>
      <w:r w:rsidR="00472118">
        <w:t>hea</w:t>
      </w:r>
      <w:r w:rsidR="00123EB4">
        <w:t xml:space="preserve">ring aids </w:t>
      </w:r>
      <w:r w:rsidR="00472118">
        <w:t>(or equivalent benefits that have the same value) become mandated benefits for individual and small group plans sold both inside and outside of the Exchange in Arkansas.</w:t>
      </w:r>
    </w:p>
    <w:p w:rsidR="00ED6A91" w:rsidRDefault="00ED6A91" w:rsidP="005D1192">
      <w:pPr>
        <w:pStyle w:val="Heading2"/>
      </w:pPr>
      <w:bookmarkStart w:id="8" w:name="_Toc316415735"/>
      <w:r>
        <w:t>Effect on State Mandates</w:t>
      </w:r>
      <w:bookmarkEnd w:id="8"/>
    </w:p>
    <w:p w:rsidR="007466A5" w:rsidRDefault="007A1369" w:rsidP="007A1369">
      <w:pPr>
        <w:pStyle w:val="Paragraph"/>
      </w:pPr>
      <w:r w:rsidRPr="00FC295E">
        <w:t xml:space="preserve">The ACA requires </w:t>
      </w:r>
      <w:r w:rsidR="003E154D">
        <w:t>s</w:t>
      </w:r>
      <w:r w:rsidRPr="00FC295E">
        <w:t xml:space="preserve">tates to pay for the portion of Exchange premiums that are attributable to state insurance mandates not included in the EHB package.  This provision was intended to ensure that </w:t>
      </w:r>
      <w:r w:rsidR="003E154D">
        <w:t>f</w:t>
      </w:r>
      <w:r w:rsidRPr="00FC295E">
        <w:t xml:space="preserve">ederal dollars would not be used to subsidize coverage of state mandates in the Exchange.   </w:t>
      </w:r>
    </w:p>
    <w:p w:rsidR="00421310" w:rsidRPr="00E81359" w:rsidRDefault="007466A5" w:rsidP="007A1369">
      <w:pPr>
        <w:pStyle w:val="Paragraph"/>
      </w:pPr>
      <w:r w:rsidRPr="00E81359">
        <w:lastRenderedPageBreak/>
        <w:t>The incremental cost of individual coverage mandates is typically far less than 1% of premium costs, but in vitro fertilization has proven to be a more expensive manda</w:t>
      </w:r>
      <w:r w:rsidR="00421310" w:rsidRPr="00E81359">
        <w:t>te according to Arkansas carriers</w:t>
      </w:r>
      <w:r w:rsidRPr="00E81359">
        <w:t xml:space="preserve">. The mandate is estimated to add 1% to premium costs in part due to the multiple births that treatments may generate. </w:t>
      </w:r>
      <w:r w:rsidR="00421310" w:rsidRPr="00E81359">
        <w:t>Assuming the Arkansas Insurance Department’s 2011 actuarial estimate of 113,000 Exchange participants in 2014 at a monthly premium rate of $400, a 1% increment would come with an annual cost of $5.4 million.</w:t>
      </w:r>
    </w:p>
    <w:p w:rsidR="007466A5" w:rsidRDefault="007466A5" w:rsidP="00421310">
      <w:pPr>
        <w:pStyle w:val="Paragraph"/>
      </w:pPr>
      <w:r w:rsidRPr="00E81359">
        <w:t>The mandate’s $15,000 coverage limit may counter cost control efforts in this area since lower cost treatments may result in higher</w:t>
      </w:r>
      <w:r w:rsidR="00421310" w:rsidRPr="00E81359">
        <w:t xml:space="preserve"> risk of multiple births. Strategies to contain the cost of in-vitro fertilization in the context of an essential health benefits package may include removing the dollar limit and requiring treatments that involve single-embryo attempts.</w:t>
      </w:r>
    </w:p>
    <w:p w:rsidR="007466A5" w:rsidRDefault="00421310" w:rsidP="00327EB4">
      <w:pPr>
        <w:pStyle w:val="Paragraph"/>
      </w:pPr>
      <w:r>
        <w:t>The cost of the autism treatment mandate is estimated to be similar or more expensive than in-vitro fertilization according to Arkansas insurance carriers. Given the entry of more applied behavioral analysis providers into the market, the cost of care may result in a premium increment of up to 2%.</w:t>
      </w:r>
    </w:p>
    <w:p w:rsidR="000547F4" w:rsidRDefault="000547F4" w:rsidP="00386AC9">
      <w:pPr>
        <w:pStyle w:val="Paragraph"/>
      </w:pPr>
      <w:r>
        <w:t>The state plan is self-insured and, therefore, exempt from state insurance mandates. Federal plans are also exempt from state insurance mandates.</w:t>
      </w:r>
      <w:r w:rsidR="00EF3283">
        <w:t xml:space="preserve"> </w:t>
      </w:r>
    </w:p>
    <w:p w:rsidR="004F335F" w:rsidRPr="00FC295E" w:rsidRDefault="004F335F" w:rsidP="00386AC9">
      <w:pPr>
        <w:pStyle w:val="Paragraph"/>
      </w:pPr>
      <w:r>
        <w:t xml:space="preserve">It </w:t>
      </w:r>
      <w:r w:rsidRPr="00E81359">
        <w:t>should also be noted that HMOs are exempt from the in-vitro fe</w:t>
      </w:r>
      <w:r w:rsidR="00123EB4">
        <w:t>rtilization mandate. Therefore, if an HMO small group plan is chosen as the benchmark, HMOs will continue to be exempt. However, if a PPO plan is chosen as the benchmark, both PPO and HMO plans will be subject to the IVF mandate.</w:t>
      </w:r>
    </w:p>
    <w:p w:rsidR="00ED6A91" w:rsidRDefault="00ED6A91" w:rsidP="005D1192">
      <w:pPr>
        <w:pStyle w:val="Heading2"/>
      </w:pPr>
      <w:bookmarkStart w:id="9" w:name="_Toc316415736"/>
      <w:r>
        <w:t>Updating the Benchmark</w:t>
      </w:r>
      <w:bookmarkEnd w:id="9"/>
    </w:p>
    <w:p w:rsidR="007A1369" w:rsidRDefault="00932382" w:rsidP="007A1369">
      <w:pPr>
        <w:pStyle w:val="Paragraph"/>
      </w:pPr>
      <w:r>
        <w:t>The federal Department of Health and Human Services has</w:t>
      </w:r>
      <w:r w:rsidRPr="00FC295E">
        <w:t xml:space="preserve"> added that, while a state plan will likely remain </w:t>
      </w:r>
      <w:r>
        <w:t xml:space="preserve">a benchmark option through </w:t>
      </w:r>
      <w:r w:rsidR="00635873">
        <w:t>2015;</w:t>
      </w:r>
      <w:r>
        <w:t xml:space="preserve"> </w:t>
      </w:r>
      <w:r w:rsidRPr="00FC295E">
        <w:t xml:space="preserve">future updates to the benchmark may eliminate that </w:t>
      </w:r>
      <w:r w:rsidR="00635873" w:rsidRPr="00FC295E">
        <w:t>possibility. The</w:t>
      </w:r>
      <w:r w:rsidR="007A1369" w:rsidRPr="00FC295E">
        <w:t xml:space="preserve"> schedule and scope of those updates has yet to be released, but will require carefully balancing the desire for innovation with the need for stability and reliability.</w:t>
      </w:r>
    </w:p>
    <w:p w:rsidR="005D1192" w:rsidRDefault="005D1192" w:rsidP="005D1192">
      <w:pPr>
        <w:pStyle w:val="Heading2"/>
      </w:pPr>
      <w:r>
        <w:t>Coordination of Exchange and Medicaid Benefits</w:t>
      </w:r>
    </w:p>
    <w:p w:rsidR="0057113E" w:rsidRPr="00E81359" w:rsidRDefault="00A51D9C" w:rsidP="007A1369">
      <w:pPr>
        <w:pStyle w:val="Paragraph"/>
      </w:pPr>
      <w:r w:rsidRPr="00E81359">
        <w:t xml:space="preserve">For low-income Arkansas families who are not qualifying for health care assistance on the basis of disability, Medicaid and Exchange tax credits </w:t>
      </w:r>
      <w:r w:rsidR="00671766" w:rsidRPr="00E81359">
        <w:t xml:space="preserve">will </w:t>
      </w:r>
      <w:r w:rsidRPr="00E81359">
        <w:t xml:space="preserve">combine to create a single spectrum of coverage for those without employer-sponsored medical benefits and whose incomes are up to four times the </w:t>
      </w:r>
      <w:r w:rsidR="00671766" w:rsidRPr="00E81359">
        <w:t>federal poverty level (FPL)</w:t>
      </w:r>
    </w:p>
    <w:p w:rsidR="00A51D9C" w:rsidRPr="00E81359" w:rsidRDefault="00A51D9C" w:rsidP="007A1369">
      <w:pPr>
        <w:pStyle w:val="Paragraph"/>
      </w:pPr>
      <w:r w:rsidRPr="00E81359">
        <w:t>Within this spectrum</w:t>
      </w:r>
      <w:r w:rsidR="00671766" w:rsidRPr="00E81359">
        <w:t>, Medicaid will cover parents with incomes up to 138% of FPL, inclusive of a 5% income disregard. Under new eligibility rules that take effect in 2014, income will be measured according to a tax-code methodology known as “modified adjusted gross income,” or MAGI.</w:t>
      </w:r>
    </w:p>
    <w:p w:rsidR="00671766" w:rsidRPr="00E81359" w:rsidRDefault="00671766" w:rsidP="007A1369">
      <w:pPr>
        <w:pStyle w:val="Paragraph"/>
      </w:pPr>
      <w:r w:rsidRPr="00E81359">
        <w:t xml:space="preserve">Coverage in ARKids will continue to be available for children up to 200% of FPL. Federal maintenance of effort (MOE) provisions of the Affordable Care Act require continuation of ARKids eligibility using </w:t>
      </w:r>
      <w:r w:rsidRPr="00E81359">
        <w:lastRenderedPageBreak/>
        <w:t>federal Children’s Health Insurance Program (CHIP) funds (which are matched with Arkansas state funds) at this level.</w:t>
      </w:r>
    </w:p>
    <w:p w:rsidR="00816F0D" w:rsidRPr="00E81359" w:rsidRDefault="00816F0D" w:rsidP="007A1369">
      <w:pPr>
        <w:pStyle w:val="Paragraph"/>
      </w:pPr>
      <w:r w:rsidRPr="00E81359">
        <w:t xml:space="preserve">One important health policy consideration in designing essential health benefits for the Arkansas Exchange will be continuity of care for families whose income fluctuates </w:t>
      </w:r>
      <w:r w:rsidR="008C2479" w:rsidRPr="00E81359">
        <w:t>across the boundaries of Medicaid, ARKids and Exchange premium tax credit income guidelines. Nationally, this issue of “churning” is receiving considerable attention because millions of families will see their income fluctuate in ways that trigger these eligibility changes, and subsequently, trigger potential changes in medical benefits that may or may not coordinate.</w:t>
      </w:r>
    </w:p>
    <w:p w:rsidR="00932382" w:rsidRDefault="0054548A" w:rsidP="007A1369">
      <w:pPr>
        <w:pStyle w:val="Paragraph"/>
      </w:pPr>
      <w:r w:rsidRPr="00E81359">
        <w:t xml:space="preserve">The continuity of care issues facing Arkansas are unique because </w:t>
      </w:r>
      <w:r w:rsidR="008C2479" w:rsidRPr="00E81359">
        <w:t>Medicaid and ARKids coverage is delivered through a fee-for-service model. Whil</w:t>
      </w:r>
      <w:r w:rsidRPr="00E81359">
        <w:t xml:space="preserve">e most states cover some </w:t>
      </w:r>
      <w:r w:rsidR="00932382" w:rsidRPr="00E81359">
        <w:t>portion</w:t>
      </w:r>
      <w:r w:rsidR="008C2479" w:rsidRPr="00E81359">
        <w:t xml:space="preserve"> of their Medicaid family enrollment through managed care plans, Arkansas is one of the only states that does not. Therefore, family income fluctuations in Arkansas may trigger changes that impact coverage of very specific medical benefit categories such as prescription drugs.</w:t>
      </w:r>
      <w:r w:rsidR="00932382" w:rsidRPr="00E81359">
        <w:t xml:space="preserve"> Some Medicaid benefits are prescribed as mandatory under federal law, with states having the flexibility to add optional service cat</w:t>
      </w:r>
      <w:r w:rsidR="00E81359">
        <w:t xml:space="preserve">egories. Mandatory </w:t>
      </w:r>
      <w:r w:rsidR="00932382" w:rsidRPr="00E81359">
        <w:t>Medicaid benefits are as follows:</w:t>
      </w:r>
    </w:p>
    <w:p w:rsidR="00932382" w:rsidRPr="00932382" w:rsidRDefault="00932382" w:rsidP="007A1369">
      <w:pPr>
        <w:pStyle w:val="Paragraph"/>
        <w:rPr>
          <w:b/>
          <w:u w:val="single"/>
        </w:rPr>
      </w:pPr>
      <w:r w:rsidRPr="00932382">
        <w:rPr>
          <w:b/>
          <w:u w:val="single"/>
        </w:rPr>
        <w:t>Mandatory Medicaid Benefits</w:t>
      </w:r>
    </w:p>
    <w:tbl>
      <w:tblPr>
        <w:tblW w:w="0" w:type="auto"/>
        <w:tblBorders>
          <w:top w:val="nil"/>
          <w:left w:val="nil"/>
          <w:bottom w:val="nil"/>
          <w:right w:val="nil"/>
        </w:tblBorders>
        <w:tblLayout w:type="fixed"/>
        <w:tblLook w:val="0000"/>
      </w:tblPr>
      <w:tblGrid>
        <w:gridCol w:w="3864"/>
        <w:gridCol w:w="54"/>
        <w:gridCol w:w="3810"/>
        <w:gridCol w:w="108"/>
      </w:tblGrid>
      <w:tr w:rsidR="00A100C9" w:rsidRPr="00A100C9" w:rsidTr="00935742">
        <w:trPr>
          <w:gridAfter w:val="1"/>
          <w:wAfter w:w="108" w:type="dxa"/>
          <w:trHeight w:val="4549"/>
        </w:trPr>
        <w:tc>
          <w:tcPr>
            <w:tcW w:w="3864" w:type="dxa"/>
          </w:tcPr>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Clinics and Programs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FQHC Core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Rural Health Clinics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Maternity Clinic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Dental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Oral Surgery Dentist (ADA Codes)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Oral Surgery Physicians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FQHC Dental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EPSDT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EPSDT Screening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EPSDT Immunizations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Family Planning </w:t>
            </w:r>
            <w:r w:rsidRPr="00A100C9">
              <w:rPr>
                <w:rFonts w:ascii="Times New Roman" w:hAnsi="Times New Roman"/>
                <w:color w:val="000000"/>
              </w:rPr>
              <w:t xml:space="preserve">(Not Prescription Drugs)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FP All Aid Cat, 90/10 Match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Physician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Clinics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FP Not Aid Cat 69 90/10 Match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FQHC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RHC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Nurse Practitioner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Outpatient Hospital Family Planning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Inpatient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Inpatient Acute Care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Pediatric Inpatient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Inpatient AR Teaching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Critical Access Hospitals INP MED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Rural Inpatient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lastRenderedPageBreak/>
              <w:t xml:space="preserve">Lab and X-Ray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Radiologist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Independent Lab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Independent X-ray </w:t>
            </w:r>
          </w:p>
          <w:p w:rsidR="00932382" w:rsidRDefault="00A100C9" w:rsidP="00E8135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Pathologist </w:t>
            </w:r>
          </w:p>
          <w:p w:rsidR="00E81359" w:rsidRDefault="00E81359" w:rsidP="00E81359">
            <w:pPr>
              <w:autoSpaceDE w:val="0"/>
              <w:autoSpaceDN w:val="0"/>
              <w:adjustRightInd w:val="0"/>
              <w:spacing w:after="0" w:line="240" w:lineRule="auto"/>
              <w:rPr>
                <w:rFonts w:ascii="Times New Roman" w:hAnsi="Times New Roman"/>
                <w:color w:val="000000"/>
              </w:rPr>
            </w:pPr>
          </w:p>
          <w:p w:rsidR="002E16B6" w:rsidRDefault="002E16B6" w:rsidP="00E81359">
            <w:pPr>
              <w:autoSpaceDE w:val="0"/>
              <w:autoSpaceDN w:val="0"/>
              <w:adjustRightInd w:val="0"/>
              <w:spacing w:after="0" w:line="240" w:lineRule="auto"/>
              <w:rPr>
                <w:rFonts w:ascii="Times New Roman" w:hAnsi="Times New Roman"/>
                <w:color w:val="000000"/>
              </w:rPr>
            </w:pPr>
          </w:p>
          <w:p w:rsidR="00E81359" w:rsidRPr="00E81359" w:rsidRDefault="00E81359" w:rsidP="00E81359">
            <w:pPr>
              <w:autoSpaceDE w:val="0"/>
              <w:autoSpaceDN w:val="0"/>
              <w:adjustRightInd w:val="0"/>
              <w:spacing w:after="0" w:line="240" w:lineRule="auto"/>
              <w:rPr>
                <w:rFonts w:ascii="Times New Roman" w:hAnsi="Times New Roman"/>
                <w:color w:val="000000"/>
              </w:rPr>
            </w:pPr>
            <w:r>
              <w:rPr>
                <w:rFonts w:ascii="Times New Roman" w:hAnsi="Times New Roman"/>
                <w:color w:val="000000"/>
              </w:rPr>
              <w:t>Below is a listing of optional Medicaid services by benefit category. Attached to this, Table 4 provides a comparative analysis of the major Medicaid benefit categories and how they compare to similar benefit categories offered in the small group plans that have the most membership in the Arkansas insurance market</w:t>
            </w:r>
            <w:r w:rsidR="002E16B6">
              <w:rPr>
                <w:rFonts w:ascii="Times New Roman" w:hAnsi="Times New Roman"/>
                <w:color w:val="000000"/>
              </w:rPr>
              <w:t>:</w:t>
            </w:r>
          </w:p>
        </w:tc>
        <w:tc>
          <w:tcPr>
            <w:tcW w:w="3864" w:type="dxa"/>
            <w:gridSpan w:val="2"/>
          </w:tcPr>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lastRenderedPageBreak/>
              <w:t xml:space="preserve">Long Term Care </w:t>
            </w:r>
            <w:r w:rsidRPr="00A100C9">
              <w:rPr>
                <w:rFonts w:ascii="Times New Roman" w:hAnsi="Times New Roman"/>
                <w:color w:val="000000"/>
              </w:rPr>
              <w:t xml:space="preserve">(See note below.)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ICF/INF/E.S.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Private SNF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Public ICF Mentally Retarded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Public SNF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Other Care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Home Health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Other Practitioners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Nurse Practitioner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Nurse Midwife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Outpatient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Outpatient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Pediatric Outpatient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Outpatient Teaching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Critical Access Hospitals OUT MED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Physician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Physician Services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Surgery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Maternity/Physician program cost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Ophthalmologist medical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Ophthalmologist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Prof Inpatient AR Teaching Hospital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Prescription Drugs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Family Planning Drugs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b/>
                <w:bCs/>
                <w:color w:val="000000"/>
              </w:rPr>
              <w:t xml:space="preserve">Transportation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Ambulance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NET Managed Care Waiver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lastRenderedPageBreak/>
              <w:t xml:space="preserve">Non-Public Transportation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Nonprofit Transportation </w:t>
            </w:r>
          </w:p>
          <w:p w:rsidR="00A100C9" w:rsidRPr="00A100C9" w:rsidRDefault="00A100C9" w:rsidP="00A100C9">
            <w:pPr>
              <w:autoSpaceDE w:val="0"/>
              <w:autoSpaceDN w:val="0"/>
              <w:adjustRightInd w:val="0"/>
              <w:spacing w:after="0" w:line="240" w:lineRule="auto"/>
              <w:rPr>
                <w:rFonts w:ascii="Times New Roman" w:hAnsi="Times New Roman"/>
                <w:color w:val="000000"/>
              </w:rPr>
            </w:pPr>
            <w:r w:rsidRPr="00A100C9">
              <w:rPr>
                <w:rFonts w:ascii="Times New Roman" w:hAnsi="Times New Roman"/>
                <w:color w:val="000000"/>
              </w:rPr>
              <w:t xml:space="preserve">FQHC Transportation </w:t>
            </w:r>
          </w:p>
        </w:tc>
      </w:tr>
      <w:tr w:rsidR="00935742" w:rsidRPr="00935742" w:rsidTr="00935742">
        <w:trPr>
          <w:trHeight w:val="4252"/>
        </w:trPr>
        <w:tc>
          <w:tcPr>
            <w:tcW w:w="3918" w:type="dxa"/>
            <w:gridSpan w:val="2"/>
          </w:tcPr>
          <w:p w:rsidR="00E81359" w:rsidRPr="00E81359" w:rsidRDefault="00E81359" w:rsidP="00935742">
            <w:pPr>
              <w:autoSpaceDE w:val="0"/>
              <w:autoSpaceDN w:val="0"/>
              <w:adjustRightInd w:val="0"/>
              <w:spacing w:after="0" w:line="240" w:lineRule="auto"/>
              <w:rPr>
                <w:rFonts w:ascii="Times New Roman" w:hAnsi="Times New Roman"/>
                <w:b/>
                <w:bCs/>
                <w:color w:val="000000"/>
                <w:u w:val="single"/>
              </w:rPr>
            </w:pPr>
            <w:r w:rsidRPr="00E81359">
              <w:rPr>
                <w:rFonts w:ascii="Times New Roman" w:hAnsi="Times New Roman"/>
                <w:b/>
                <w:bCs/>
                <w:color w:val="000000"/>
                <w:u w:val="single"/>
              </w:rPr>
              <w:lastRenderedPageBreak/>
              <w:t>Optional Medicaid Benefits</w:t>
            </w:r>
          </w:p>
          <w:p w:rsidR="00E81359" w:rsidRDefault="00E81359" w:rsidP="00935742">
            <w:pPr>
              <w:autoSpaceDE w:val="0"/>
              <w:autoSpaceDN w:val="0"/>
              <w:adjustRightInd w:val="0"/>
              <w:spacing w:after="0" w:line="240" w:lineRule="auto"/>
              <w:rPr>
                <w:rFonts w:ascii="Times New Roman" w:hAnsi="Times New Roman"/>
                <w:b/>
                <w:bCs/>
                <w:color w:val="000000"/>
              </w:rPr>
            </w:pP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Aging and Disability Services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ElderChoices Waiver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AAPD Attendant Care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AAPD Environmental Adaptations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AAPD Agency Attendant Care, Co Employer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AAPD Counseling Case Management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IndependentChoices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DDS Alternative Com Service Waiver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PACE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Behavioral Health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Mental Hospital Services - aged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Community Mental Health (RSPMI)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Case Management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CSMT Age 60 and Older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CSMT Age 21-59 with Developmental Disability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Clinics and Programs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Health Dept Communicable Disease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ARKIDS - Immunology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Ambulatory Surgical Centers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Family Planning </w:t>
            </w:r>
            <w:r w:rsidRPr="00935742">
              <w:rPr>
                <w:rFonts w:ascii="Times New Roman" w:hAnsi="Times New Roman"/>
                <w:color w:val="000000"/>
              </w:rPr>
              <w:t xml:space="preserve">(Not Prescription Drugs)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Family Planning Waiver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FP Aid Cat 69, 75/25 Prof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OP FP, All Aid Cat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FP Aid Cat 69, 75/25 OP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Family Planning Waiver RHC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lastRenderedPageBreak/>
              <w:t xml:space="preserve">Family Planning Waiver Other Facilities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Inpatient Hospital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Inpatient Transplant </w:t>
            </w:r>
          </w:p>
          <w:p w:rsidR="005B7A60"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Inpatient Rehab </w:t>
            </w:r>
          </w:p>
          <w:p w:rsidR="002E16B6" w:rsidRDefault="002E16B6" w:rsidP="00935742">
            <w:pPr>
              <w:autoSpaceDE w:val="0"/>
              <w:autoSpaceDN w:val="0"/>
              <w:adjustRightInd w:val="0"/>
              <w:spacing w:after="0" w:line="240" w:lineRule="auto"/>
              <w:rPr>
                <w:rFonts w:ascii="Times New Roman" w:hAnsi="Times New Roman"/>
                <w:color w:val="000000"/>
              </w:rPr>
            </w:pPr>
          </w:p>
          <w:p w:rsidR="002E16B6" w:rsidRPr="00935742" w:rsidRDefault="002E16B6"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Separately, Medicaid includes coverage requirements for children through a federal program called Early Periodic Screening, Diagnostic and Treatment Services. These services are built into </w:t>
            </w:r>
            <w:proofErr w:type="spellStart"/>
            <w:r>
              <w:rPr>
                <w:rFonts w:ascii="Times New Roman" w:hAnsi="Times New Roman"/>
                <w:color w:val="000000"/>
              </w:rPr>
              <w:t>ARKids</w:t>
            </w:r>
            <w:proofErr w:type="spellEnd"/>
            <w:r>
              <w:rPr>
                <w:rFonts w:ascii="Times New Roman" w:hAnsi="Times New Roman"/>
                <w:color w:val="000000"/>
              </w:rPr>
              <w:t xml:space="preserve"> coverage in Arkansas, thereby giving those children enrolled in </w:t>
            </w:r>
            <w:proofErr w:type="spellStart"/>
            <w:r>
              <w:rPr>
                <w:rFonts w:ascii="Times New Roman" w:hAnsi="Times New Roman"/>
                <w:color w:val="000000"/>
              </w:rPr>
              <w:t>ARKids</w:t>
            </w:r>
            <w:proofErr w:type="spellEnd"/>
            <w:r>
              <w:rPr>
                <w:rFonts w:ascii="Times New Roman" w:hAnsi="Times New Roman"/>
                <w:color w:val="000000"/>
              </w:rPr>
              <w:t xml:space="preserve"> broad access to preventative coverage for developmental screening services. The Affordable Care Act also strengthened preventative coverage effective September 23, 2010:</w:t>
            </w:r>
          </w:p>
        </w:tc>
        <w:tc>
          <w:tcPr>
            <w:tcW w:w="3918" w:type="dxa"/>
            <w:gridSpan w:val="2"/>
          </w:tcPr>
          <w:p w:rsidR="000E0EED" w:rsidRDefault="00935742" w:rsidP="00935742">
            <w:pPr>
              <w:autoSpaceDE w:val="0"/>
              <w:autoSpaceDN w:val="0"/>
              <w:adjustRightInd w:val="0"/>
              <w:spacing w:after="0" w:line="240" w:lineRule="auto"/>
              <w:rPr>
                <w:rFonts w:ascii="Times New Roman" w:hAnsi="Times New Roman"/>
                <w:b/>
                <w:bCs/>
                <w:color w:val="000000"/>
              </w:rPr>
            </w:pPr>
            <w:r w:rsidRPr="00935742">
              <w:rPr>
                <w:rFonts w:ascii="Times New Roman" w:hAnsi="Times New Roman"/>
                <w:b/>
                <w:bCs/>
                <w:color w:val="000000"/>
              </w:rPr>
              <w:lastRenderedPageBreak/>
              <w:t>Long Term Care</w:t>
            </w:r>
          </w:p>
          <w:p w:rsidR="00935742" w:rsidRPr="00935742"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Assisted Living </w:t>
            </w:r>
            <w:r w:rsidR="00935742" w:rsidRPr="00935742">
              <w:rPr>
                <w:rFonts w:ascii="Times New Roman" w:hAnsi="Times New Roman"/>
                <w:color w:val="000000"/>
              </w:rPr>
              <w:t xml:space="preserve">Agency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Assisted Living Facility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Assisted Living Pharmacy Consultant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Other Care Services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Durable Medical Equipment/Oxygen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Eyeglasses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Hemodialysis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Hyperalimentation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Ventilator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Tuberculosis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Vaccine administered in pharmacy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Personal Care Services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Nursing Home Hospice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Hospice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 xml:space="preserve">Private Duty Nursing Services </w:t>
            </w:r>
          </w:p>
          <w:p w:rsidR="00935742" w:rsidRPr="00935742"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b/>
                <w:bCs/>
                <w:color w:val="000000"/>
              </w:rPr>
              <w:t xml:space="preserve">Other Practitioners </w:t>
            </w:r>
          </w:p>
          <w:p w:rsidR="000E0EED" w:rsidRDefault="00935742" w:rsidP="00935742">
            <w:pPr>
              <w:autoSpaceDE w:val="0"/>
              <w:autoSpaceDN w:val="0"/>
              <w:adjustRightInd w:val="0"/>
              <w:spacing w:after="0" w:line="240" w:lineRule="auto"/>
              <w:rPr>
                <w:rFonts w:ascii="Times New Roman" w:hAnsi="Times New Roman"/>
                <w:color w:val="000000"/>
              </w:rPr>
            </w:pPr>
            <w:r w:rsidRPr="00935742">
              <w:rPr>
                <w:rFonts w:ascii="Times New Roman" w:hAnsi="Times New Roman"/>
                <w:color w:val="000000"/>
              </w:rPr>
              <w:t>Optometrist/Ocularist</w:t>
            </w:r>
          </w:p>
          <w:p w:rsidR="000E0EED"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CRNA</w:t>
            </w:r>
          </w:p>
          <w:p w:rsidR="00935742"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Chiropractor</w:t>
            </w:r>
            <w:r w:rsidR="00935742" w:rsidRPr="00935742">
              <w:rPr>
                <w:rFonts w:ascii="Times New Roman" w:hAnsi="Times New Roman"/>
                <w:color w:val="000000"/>
              </w:rPr>
              <w:t xml:space="preserve"> </w:t>
            </w:r>
          </w:p>
          <w:p w:rsidR="000E0EED" w:rsidRPr="000E0EED" w:rsidRDefault="000E0EED" w:rsidP="00935742">
            <w:pPr>
              <w:autoSpaceDE w:val="0"/>
              <w:autoSpaceDN w:val="0"/>
              <w:adjustRightInd w:val="0"/>
              <w:spacing w:after="0" w:line="240" w:lineRule="auto"/>
              <w:rPr>
                <w:rFonts w:ascii="Times New Roman" w:hAnsi="Times New Roman"/>
                <w:b/>
                <w:color w:val="000000"/>
              </w:rPr>
            </w:pPr>
            <w:r w:rsidRPr="000E0EED">
              <w:rPr>
                <w:rFonts w:ascii="Times New Roman" w:hAnsi="Times New Roman"/>
                <w:b/>
                <w:color w:val="000000"/>
              </w:rPr>
              <w:t>Outpatient Hospital</w:t>
            </w:r>
          </w:p>
          <w:p w:rsidR="000E0EED"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Outpatient Rehab</w:t>
            </w:r>
          </w:p>
          <w:p w:rsidR="000E0EED"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Outpatient Transplant</w:t>
            </w:r>
          </w:p>
          <w:p w:rsidR="000E0EED" w:rsidRPr="000E0EED" w:rsidRDefault="000E0EED" w:rsidP="00935742">
            <w:pPr>
              <w:autoSpaceDE w:val="0"/>
              <w:autoSpaceDN w:val="0"/>
              <w:adjustRightInd w:val="0"/>
              <w:spacing w:after="0" w:line="240" w:lineRule="auto"/>
              <w:rPr>
                <w:rFonts w:ascii="Times New Roman" w:hAnsi="Times New Roman"/>
                <w:b/>
                <w:color w:val="000000"/>
              </w:rPr>
            </w:pPr>
            <w:r w:rsidRPr="000E0EED">
              <w:rPr>
                <w:rFonts w:ascii="Times New Roman" w:hAnsi="Times New Roman"/>
                <w:b/>
                <w:color w:val="000000"/>
              </w:rPr>
              <w:t>Physician Services</w:t>
            </w:r>
          </w:p>
          <w:p w:rsidR="000E0EED"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Physician Transplant Services</w:t>
            </w:r>
          </w:p>
          <w:p w:rsidR="000E0EED"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Managed Care Fees</w:t>
            </w:r>
          </w:p>
          <w:p w:rsidR="000E0EED" w:rsidRPr="000E0EED" w:rsidRDefault="000E0EED" w:rsidP="00935742">
            <w:pPr>
              <w:autoSpaceDE w:val="0"/>
              <w:autoSpaceDN w:val="0"/>
              <w:adjustRightInd w:val="0"/>
              <w:spacing w:after="0" w:line="240" w:lineRule="auto"/>
              <w:rPr>
                <w:rFonts w:ascii="Times New Roman" w:hAnsi="Times New Roman"/>
                <w:b/>
                <w:color w:val="000000"/>
              </w:rPr>
            </w:pPr>
            <w:r w:rsidRPr="000E0EED">
              <w:rPr>
                <w:rFonts w:ascii="Times New Roman" w:hAnsi="Times New Roman"/>
                <w:b/>
                <w:color w:val="000000"/>
              </w:rPr>
              <w:t>Prescription Drugs</w:t>
            </w:r>
          </w:p>
          <w:p w:rsidR="000E0EED" w:rsidRPr="00935742" w:rsidRDefault="000E0EED" w:rsidP="00935742">
            <w:pPr>
              <w:autoSpaceDE w:val="0"/>
              <w:autoSpaceDN w:val="0"/>
              <w:adjustRightInd w:val="0"/>
              <w:spacing w:after="0" w:line="240" w:lineRule="auto"/>
              <w:rPr>
                <w:rFonts w:ascii="Times New Roman" w:hAnsi="Times New Roman"/>
                <w:color w:val="000000"/>
              </w:rPr>
            </w:pPr>
            <w:r>
              <w:rPr>
                <w:rFonts w:ascii="Times New Roman" w:hAnsi="Times New Roman"/>
                <w:color w:val="000000"/>
              </w:rPr>
              <w:t>Prescription Services</w:t>
            </w:r>
          </w:p>
        </w:tc>
      </w:tr>
      <w:tr w:rsidR="000E0EED" w:rsidRPr="000E0EED" w:rsidTr="000E0EED">
        <w:trPr>
          <w:trHeight w:val="4252"/>
        </w:trPr>
        <w:tc>
          <w:tcPr>
            <w:tcW w:w="3918" w:type="dxa"/>
            <w:gridSpan w:val="2"/>
            <w:tcBorders>
              <w:left w:val="nil"/>
              <w:bottom w:val="nil"/>
            </w:tcBorders>
          </w:tcPr>
          <w:p w:rsidR="005B7A60" w:rsidRPr="005B7A60" w:rsidRDefault="005B7A60" w:rsidP="000E0EED">
            <w:pPr>
              <w:autoSpaceDE w:val="0"/>
              <w:autoSpaceDN w:val="0"/>
              <w:adjustRightInd w:val="0"/>
              <w:spacing w:after="0" w:line="240" w:lineRule="auto"/>
              <w:rPr>
                <w:rFonts w:ascii="Times New Roman" w:hAnsi="Times New Roman"/>
                <w:bCs/>
                <w:color w:val="000000"/>
              </w:rPr>
            </w:pPr>
          </w:p>
          <w:p w:rsidR="005B7A60" w:rsidRPr="005B7A60" w:rsidRDefault="005B7A60" w:rsidP="000E0EED">
            <w:pPr>
              <w:autoSpaceDE w:val="0"/>
              <w:autoSpaceDN w:val="0"/>
              <w:adjustRightInd w:val="0"/>
              <w:spacing w:after="0" w:line="240" w:lineRule="auto"/>
              <w:rPr>
                <w:rFonts w:ascii="Times New Roman" w:hAnsi="Times New Roman"/>
                <w:b/>
                <w:bCs/>
                <w:color w:val="000000"/>
                <w:u w:val="single"/>
              </w:rPr>
            </w:pPr>
            <w:r w:rsidRPr="005B7A60">
              <w:rPr>
                <w:rFonts w:ascii="Times New Roman" w:hAnsi="Times New Roman"/>
                <w:b/>
                <w:bCs/>
                <w:color w:val="000000"/>
                <w:u w:val="single"/>
              </w:rPr>
              <w:t>Additional Benefits Age &lt; 21</w:t>
            </w:r>
          </w:p>
          <w:p w:rsidR="005B7A60" w:rsidRPr="005B7A60" w:rsidRDefault="005B7A60" w:rsidP="000E0EED">
            <w:pPr>
              <w:autoSpaceDE w:val="0"/>
              <w:autoSpaceDN w:val="0"/>
              <w:adjustRightInd w:val="0"/>
              <w:spacing w:after="0" w:line="240" w:lineRule="auto"/>
              <w:rPr>
                <w:rFonts w:ascii="Times New Roman" w:hAnsi="Times New Roman"/>
                <w:bCs/>
                <w:color w:val="000000"/>
              </w:rPr>
            </w:pP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Aging and Disability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RSPD Residential Rehab Center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RSPD Extended Rehab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Developmental Rehab Services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Behavioral Health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Inpatient Psychiatric for Under Age 21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School-Based Mental Health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DYS Rehab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Sexual Offender Program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Case Management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Case Management CMS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TCM/DYS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Targeted Case Management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Case Management DCFS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Clinics and Programs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Therapy Individual/Regular Group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Therapy School District/Esc Group </w:t>
            </w:r>
          </w:p>
          <w:p w:rsid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Developmental Day Treatme</w:t>
            </w:r>
            <w:r w:rsidR="005B7A60">
              <w:rPr>
                <w:rFonts w:ascii="Times New Roman" w:hAnsi="Times New Roman"/>
                <w:bCs/>
                <w:color w:val="000000"/>
              </w:rPr>
              <w:t>nt Clinic</w:t>
            </w:r>
          </w:p>
          <w:p w:rsidR="005B7A60" w:rsidRDefault="005B7A60" w:rsidP="000E0EED">
            <w:pPr>
              <w:autoSpaceDE w:val="0"/>
              <w:autoSpaceDN w:val="0"/>
              <w:adjustRightInd w:val="0"/>
              <w:spacing w:after="0" w:line="240" w:lineRule="auto"/>
              <w:rPr>
                <w:rFonts w:ascii="Times New Roman" w:hAnsi="Times New Roman"/>
                <w:bCs/>
                <w:color w:val="000000"/>
              </w:rPr>
            </w:pPr>
          </w:p>
          <w:p w:rsidR="005B7A60" w:rsidRPr="000E0EED" w:rsidRDefault="005B7A60" w:rsidP="000E0EED">
            <w:pPr>
              <w:autoSpaceDE w:val="0"/>
              <w:autoSpaceDN w:val="0"/>
              <w:adjustRightInd w:val="0"/>
              <w:spacing w:after="0" w:line="240" w:lineRule="auto"/>
              <w:rPr>
                <w:rFonts w:ascii="Times New Roman" w:hAnsi="Times New Roman"/>
                <w:bCs/>
                <w:color w:val="000000"/>
              </w:rPr>
            </w:pPr>
          </w:p>
        </w:tc>
        <w:tc>
          <w:tcPr>
            <w:tcW w:w="3918" w:type="dxa"/>
            <w:gridSpan w:val="2"/>
            <w:tcBorders>
              <w:bottom w:val="nil"/>
              <w:right w:val="nil"/>
            </w:tcBorders>
          </w:tcPr>
          <w:p w:rsidR="005B7A60" w:rsidRPr="005B7A60" w:rsidRDefault="005B7A60" w:rsidP="000E0EED">
            <w:pPr>
              <w:autoSpaceDE w:val="0"/>
              <w:autoSpaceDN w:val="0"/>
              <w:adjustRightInd w:val="0"/>
              <w:spacing w:after="0" w:line="240" w:lineRule="auto"/>
              <w:rPr>
                <w:rFonts w:ascii="Times New Roman" w:hAnsi="Times New Roman"/>
                <w:bCs/>
                <w:color w:val="000000"/>
              </w:rPr>
            </w:pPr>
          </w:p>
          <w:p w:rsidR="005B7A60" w:rsidRPr="005B7A60" w:rsidRDefault="005B7A60" w:rsidP="000E0EED">
            <w:pPr>
              <w:autoSpaceDE w:val="0"/>
              <w:autoSpaceDN w:val="0"/>
              <w:adjustRightInd w:val="0"/>
              <w:spacing w:after="0" w:line="240" w:lineRule="auto"/>
              <w:rPr>
                <w:rFonts w:ascii="Times New Roman" w:hAnsi="Times New Roman"/>
                <w:bCs/>
                <w:color w:val="000000"/>
              </w:rPr>
            </w:pPr>
          </w:p>
          <w:p w:rsidR="000E0EED" w:rsidRPr="000E0EED" w:rsidRDefault="000E0EED" w:rsidP="000E0EED">
            <w:pPr>
              <w:autoSpaceDE w:val="0"/>
              <w:autoSpaceDN w:val="0"/>
              <w:adjustRightInd w:val="0"/>
              <w:spacing w:after="0" w:line="240" w:lineRule="auto"/>
              <w:rPr>
                <w:rFonts w:ascii="Times New Roman" w:hAnsi="Times New Roman"/>
                <w:bCs/>
                <w:color w:val="000000"/>
              </w:rPr>
            </w:pP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Dental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De</w:t>
            </w:r>
            <w:r w:rsidR="005B7A60">
              <w:rPr>
                <w:rFonts w:ascii="Times New Roman" w:hAnsi="Times New Roman"/>
                <w:bCs/>
                <w:color w:val="000000"/>
              </w:rPr>
              <w:t xml:space="preserve">ntal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Dental Services EPSDT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EPSDT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EPSDT Prosthetic Device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EPSDT Orthotic Appliances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EPSDT DMS Expansion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EPSDT Podiatry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EPSDT Psychology Services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Other Care Services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Hearing Aid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Private Duty Nursing EPSDT </w:t>
            </w:r>
          </w:p>
          <w:p w:rsidR="000E0EED" w:rsidRPr="000E0EED" w:rsidRDefault="000E0EED" w:rsidP="000E0EED">
            <w:pPr>
              <w:autoSpaceDE w:val="0"/>
              <w:autoSpaceDN w:val="0"/>
              <w:adjustRightInd w:val="0"/>
              <w:spacing w:after="0" w:line="240" w:lineRule="auto"/>
              <w:rPr>
                <w:rFonts w:ascii="Times New Roman" w:hAnsi="Times New Roman"/>
                <w:b/>
                <w:bCs/>
                <w:color w:val="000000"/>
              </w:rPr>
            </w:pPr>
            <w:r w:rsidRPr="000E0EED">
              <w:rPr>
                <w:rFonts w:ascii="Times New Roman" w:hAnsi="Times New Roman"/>
                <w:b/>
                <w:bCs/>
                <w:color w:val="000000"/>
              </w:rPr>
              <w:t xml:space="preserve">Other Practitioners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 xml:space="preserve">Audiologist </w:t>
            </w:r>
          </w:p>
          <w:p w:rsidR="000E0EED" w:rsidRPr="000E0EED" w:rsidRDefault="000E0EED" w:rsidP="000E0EED">
            <w:pPr>
              <w:autoSpaceDE w:val="0"/>
              <w:autoSpaceDN w:val="0"/>
              <w:adjustRightInd w:val="0"/>
              <w:spacing w:after="0" w:line="240" w:lineRule="auto"/>
              <w:rPr>
                <w:rFonts w:ascii="Times New Roman" w:hAnsi="Times New Roman"/>
                <w:bCs/>
                <w:color w:val="000000"/>
              </w:rPr>
            </w:pPr>
            <w:r w:rsidRPr="000E0EED">
              <w:rPr>
                <w:rFonts w:ascii="Times New Roman" w:hAnsi="Times New Roman"/>
                <w:bCs/>
                <w:color w:val="000000"/>
              </w:rPr>
              <w:t>Licensed Ment</w:t>
            </w:r>
            <w:r w:rsidR="005B7A60">
              <w:rPr>
                <w:rFonts w:ascii="Times New Roman" w:hAnsi="Times New Roman"/>
                <w:bCs/>
                <w:color w:val="000000"/>
              </w:rPr>
              <w:t>al Health Provider</w:t>
            </w:r>
            <w:r w:rsidRPr="000E0EED">
              <w:rPr>
                <w:rFonts w:ascii="Times New Roman" w:hAnsi="Times New Roman"/>
                <w:bCs/>
                <w:color w:val="000000"/>
              </w:rPr>
              <w:t xml:space="preserve"> </w:t>
            </w:r>
          </w:p>
        </w:tc>
      </w:tr>
    </w:tbl>
    <w:p w:rsidR="00BD4FDD" w:rsidRDefault="00BD4FDD" w:rsidP="00ED6A91">
      <w:pPr>
        <w:pStyle w:val="Heading1"/>
      </w:pPr>
      <w:bookmarkStart w:id="10" w:name="_Toc316415737"/>
      <w:r>
        <w:lastRenderedPageBreak/>
        <w:t>Benefit Coordination and Essential Health Benefits</w:t>
      </w:r>
    </w:p>
    <w:p w:rsidR="00BD4FDD" w:rsidRDefault="00BD4FDD" w:rsidP="00BD4FDD">
      <w:pPr>
        <w:rPr>
          <w:rFonts w:ascii="Times New Roman" w:hAnsi="Times New Roman"/>
        </w:rPr>
      </w:pPr>
      <w:r>
        <w:rPr>
          <w:rFonts w:ascii="Times New Roman" w:hAnsi="Times New Roman"/>
        </w:rPr>
        <w:t xml:space="preserve">Arkansas Medicaid benefits vary by eligibility category. Higher benefit levels are provided to children living in families with incomes below 133% of poverty (ARKids A) as well as for the elderly and disabled. Benefits are more restrictive for higher income children (ARKids B). Benefits are particularly restricted for </w:t>
      </w:r>
      <w:r w:rsidR="00BC0459">
        <w:rPr>
          <w:rFonts w:ascii="Times New Roman" w:hAnsi="Times New Roman"/>
        </w:rPr>
        <w:t>parents who qualify on the basis of eligibility for Temporary Assistance to Needy Families (TANF) and transitional Medicaid. In general, the most comprehensive Medicaid benefit plans, especially those for children enrolled in ARKids A, is richer than the small group benchmark plans eligible to be used to establish essential health benefits for Arkansas’ federal partnership Exchange. This is not the case, however, for the most restrictive Medicaid benefit plans.</w:t>
      </w:r>
    </w:p>
    <w:p w:rsidR="00BC0459" w:rsidRDefault="00BC0459" w:rsidP="00BD4FDD">
      <w:pPr>
        <w:rPr>
          <w:rFonts w:ascii="Times New Roman" w:hAnsi="Times New Roman"/>
        </w:rPr>
      </w:pPr>
      <w:r>
        <w:rPr>
          <w:rFonts w:ascii="Times New Roman" w:hAnsi="Times New Roman"/>
        </w:rPr>
        <w:t xml:space="preserve">When Medicaid eligibility expands in Arkansas in 2014 due to the requirements of the Affordable Care Act, states will be required to provide the “newly eligible” Medicaid enrollees with access to the same broad categories of “essential health benefits” that are outlined in federal law as being required to be included in Exchange qualified health plans. </w:t>
      </w:r>
      <w:r w:rsidR="00E93C44">
        <w:rPr>
          <w:rFonts w:ascii="Times New Roman" w:hAnsi="Times New Roman"/>
        </w:rPr>
        <w:t>However, this does not mean that Medicaid must adopt the same essential health benefits benchmark that will be used to certify health plans in the Exchange. If Medicaid wishes to adopt a more restrictive benefit schedule for “newly eligibles” than benefits currently provided to children or the elderly and disabled, Medicaid could do so under benchmark plan authority that was first enacted in the Deficit Reduction Act of 2005.</w:t>
      </w:r>
    </w:p>
    <w:p w:rsidR="00E93C44" w:rsidRDefault="00E93C44" w:rsidP="00BD4FDD">
      <w:pPr>
        <w:rPr>
          <w:rFonts w:ascii="Times New Roman" w:hAnsi="Times New Roman"/>
        </w:rPr>
      </w:pPr>
      <w:r>
        <w:rPr>
          <w:rFonts w:ascii="Times New Roman" w:hAnsi="Times New Roman"/>
        </w:rPr>
        <w:t>Further, the current decision on alignment of Arkansas essential health benefits to a state benchmark only commences the process of issuers developing plan products that will be distinguished according to the “metal levels” and will include a variety of schedules and cost sharing that will coordinate with Medicaid to more or less degrees.</w:t>
      </w:r>
    </w:p>
    <w:p w:rsidR="00E93C44" w:rsidRDefault="00E93C44" w:rsidP="00BD4FDD">
      <w:pPr>
        <w:rPr>
          <w:rFonts w:ascii="Times New Roman" w:hAnsi="Times New Roman"/>
        </w:rPr>
      </w:pPr>
      <w:r>
        <w:rPr>
          <w:rFonts w:ascii="Times New Roman" w:hAnsi="Times New Roman"/>
        </w:rPr>
        <w:t xml:space="preserve">While Medicaid and Exchange coordination is an important continuity of care issue for those individuals who will be moving back and forth across the boundary of these programs in 2014 and beyond, establishing policies to effectuate this coordination are more relevant to the next phase of qualified health plan certification criteria development, which considers quality and other health policy requirements the Exchange could impose on issuers as a condition of participating in the Exchange. These may include </w:t>
      </w:r>
      <w:r w:rsidR="00255B7C">
        <w:rPr>
          <w:rFonts w:ascii="Times New Roman" w:hAnsi="Times New Roman"/>
        </w:rPr>
        <w:t>the design of “Medicaid bridge” plans which are created with the specific intent of appealing to consumers who self-assess a high risk of frequent transition between the Exchange and Medicaid and are seeking a plan that best anticipates the continuity of care issues that would entail.</w:t>
      </w:r>
    </w:p>
    <w:p w:rsidR="00255B7C" w:rsidRPr="00BD4FDD" w:rsidRDefault="00255B7C" w:rsidP="00BD4FDD">
      <w:pPr>
        <w:rPr>
          <w:rFonts w:ascii="Times New Roman" w:hAnsi="Times New Roman"/>
        </w:rPr>
      </w:pPr>
      <w:r>
        <w:rPr>
          <w:rFonts w:ascii="Times New Roman" w:hAnsi="Times New Roman"/>
        </w:rPr>
        <w:t>Arkansas Medicaid may also choose to establish coverage models and standards that better align with the Exchange, such as establishing new or different roles for plans or primary case management. Coordination with Medicaid will continue to be explored in future plan management issue briefs.</w:t>
      </w:r>
    </w:p>
    <w:p w:rsidR="00734C28" w:rsidRDefault="00734C28" w:rsidP="00ED6A91">
      <w:pPr>
        <w:pStyle w:val="Heading1"/>
      </w:pPr>
      <w:r>
        <w:lastRenderedPageBreak/>
        <w:t>Mandated Benefits</w:t>
      </w:r>
      <w:bookmarkEnd w:id="10"/>
    </w:p>
    <w:p w:rsidR="00734C28" w:rsidRDefault="00734C28" w:rsidP="005D1192">
      <w:pPr>
        <w:pStyle w:val="Heading2"/>
      </w:pPr>
      <w:bookmarkStart w:id="11" w:name="_Toc316415738"/>
      <w:r>
        <w:t>Essential Health Benefits Mandated by the ACA</w:t>
      </w:r>
      <w:bookmarkEnd w:id="11"/>
    </w:p>
    <w:p w:rsidR="00734C28" w:rsidRDefault="00734C28" w:rsidP="00734C28">
      <w:pPr>
        <w:pStyle w:val="Paragraph"/>
      </w:pPr>
      <w:r>
        <w:t>Section 1302(b)(1) of the Affordable Care Act (ACA) provides that EHB packages include items and services within the following ten benefit categories:</w:t>
      </w:r>
    </w:p>
    <w:p w:rsidR="00734C28" w:rsidRDefault="00734C28" w:rsidP="00836CEB">
      <w:pPr>
        <w:pStyle w:val="Numbering"/>
        <w:numPr>
          <w:ilvl w:val="0"/>
          <w:numId w:val="10"/>
        </w:numPr>
      </w:pPr>
      <w:r>
        <w:t>Ambulatory Patient Services</w:t>
      </w:r>
    </w:p>
    <w:p w:rsidR="00734C28" w:rsidRDefault="00734C28" w:rsidP="00836CEB">
      <w:pPr>
        <w:pStyle w:val="Numbering"/>
        <w:numPr>
          <w:ilvl w:val="0"/>
          <w:numId w:val="10"/>
        </w:numPr>
      </w:pPr>
      <w:r>
        <w:t>Emergency Services</w:t>
      </w:r>
    </w:p>
    <w:p w:rsidR="00734C28" w:rsidRDefault="00734C28" w:rsidP="00836CEB">
      <w:pPr>
        <w:pStyle w:val="Numbering"/>
        <w:numPr>
          <w:ilvl w:val="0"/>
          <w:numId w:val="10"/>
        </w:numPr>
      </w:pPr>
      <w:r>
        <w:t>Hospitalization</w:t>
      </w:r>
    </w:p>
    <w:p w:rsidR="00734C28" w:rsidRDefault="00734C28" w:rsidP="00836CEB">
      <w:pPr>
        <w:pStyle w:val="Numbering"/>
        <w:numPr>
          <w:ilvl w:val="0"/>
          <w:numId w:val="10"/>
        </w:numPr>
      </w:pPr>
      <w:r>
        <w:t>Maternity and Newborn Care</w:t>
      </w:r>
    </w:p>
    <w:p w:rsidR="00734C28" w:rsidRDefault="00734C28" w:rsidP="00836CEB">
      <w:pPr>
        <w:pStyle w:val="Numbering"/>
        <w:numPr>
          <w:ilvl w:val="0"/>
          <w:numId w:val="10"/>
        </w:numPr>
      </w:pPr>
      <w:r>
        <w:t>Mental Health and Substance Use Disorder Services (including Behavioral Health Treatment)</w:t>
      </w:r>
    </w:p>
    <w:p w:rsidR="00734C28" w:rsidRDefault="00734C28" w:rsidP="00836CEB">
      <w:pPr>
        <w:pStyle w:val="Numbering"/>
        <w:numPr>
          <w:ilvl w:val="0"/>
          <w:numId w:val="10"/>
        </w:numPr>
      </w:pPr>
      <w:r>
        <w:t>Prescription Drugs</w:t>
      </w:r>
    </w:p>
    <w:p w:rsidR="00734C28" w:rsidRDefault="00734C28" w:rsidP="00836CEB">
      <w:pPr>
        <w:pStyle w:val="Numbering"/>
        <w:numPr>
          <w:ilvl w:val="0"/>
          <w:numId w:val="10"/>
        </w:numPr>
      </w:pPr>
      <w:r>
        <w:t>Rehabilitative and Habilitative Services and Devices</w:t>
      </w:r>
    </w:p>
    <w:p w:rsidR="00734C28" w:rsidRDefault="00734C28" w:rsidP="00836CEB">
      <w:pPr>
        <w:pStyle w:val="Numbering"/>
        <w:numPr>
          <w:ilvl w:val="0"/>
          <w:numId w:val="10"/>
        </w:numPr>
      </w:pPr>
      <w:r>
        <w:t>Laboratory Services</w:t>
      </w:r>
    </w:p>
    <w:p w:rsidR="00734C28" w:rsidRDefault="00734C28" w:rsidP="00836CEB">
      <w:pPr>
        <w:pStyle w:val="Numbering"/>
        <w:numPr>
          <w:ilvl w:val="0"/>
          <w:numId w:val="10"/>
        </w:numPr>
      </w:pPr>
      <w:r>
        <w:t>Preventive and Wellness Services and Chronic Disease Management</w:t>
      </w:r>
    </w:p>
    <w:p w:rsidR="00734C28" w:rsidRDefault="00734C28" w:rsidP="00836CEB">
      <w:pPr>
        <w:pStyle w:val="Numbering"/>
        <w:numPr>
          <w:ilvl w:val="0"/>
          <w:numId w:val="10"/>
        </w:numPr>
      </w:pPr>
      <w:r>
        <w:t>Pediatric Services (including Oral and Vision Care)</w:t>
      </w:r>
    </w:p>
    <w:p w:rsidR="00734C28" w:rsidRPr="00132C30" w:rsidRDefault="00734C28" w:rsidP="00734C28">
      <w:pPr>
        <w:pStyle w:val="Paragraph"/>
      </w:pPr>
      <w:r>
        <w:t>The ACA and federal guidance issued to date do not define the parameters of the ten categories b</w:t>
      </w:r>
      <w:r w:rsidR="005119CC">
        <w:t>eyond the categorical framework</w:t>
      </w:r>
      <w:r>
        <w:t xml:space="preserve"> provided above.</w:t>
      </w:r>
    </w:p>
    <w:p w:rsidR="00734C28" w:rsidRDefault="00734C28" w:rsidP="005D1192">
      <w:pPr>
        <w:pStyle w:val="Heading2"/>
      </w:pPr>
      <w:bookmarkStart w:id="12" w:name="_Toc316415739"/>
      <w:r>
        <w:t>Health Insur</w:t>
      </w:r>
      <w:r w:rsidR="005119CC">
        <w:t>ance Benefits Mandated by Arkansas</w:t>
      </w:r>
      <w:r>
        <w:t xml:space="preserve"> State Law</w:t>
      </w:r>
      <w:bookmarkEnd w:id="12"/>
    </w:p>
    <w:p w:rsidR="00734C28" w:rsidRPr="00C9155D" w:rsidRDefault="005119CC" w:rsidP="00734C28">
      <w:pPr>
        <w:pStyle w:val="Paragraph"/>
        <w:rPr>
          <w:rStyle w:val="Leadline"/>
          <w:b w:val="0"/>
          <w:bCs w:val="0"/>
        </w:rPr>
      </w:pPr>
      <w:r>
        <w:rPr>
          <w:rStyle w:val="Leadline"/>
          <w:b w:val="0"/>
          <w:bCs w:val="0"/>
        </w:rPr>
        <w:t>Arkansas</w:t>
      </w:r>
      <w:r w:rsidR="00734C28" w:rsidRPr="00C9155D">
        <w:rPr>
          <w:rStyle w:val="Leadline"/>
          <w:b w:val="0"/>
          <w:bCs w:val="0"/>
        </w:rPr>
        <w:t xml:space="preserve"> law </w:t>
      </w:r>
      <w:r>
        <w:rPr>
          <w:rStyle w:val="Leadline"/>
          <w:b w:val="0"/>
          <w:bCs w:val="0"/>
        </w:rPr>
        <w:t>mandates service coverage for 16</w:t>
      </w:r>
      <w:r w:rsidR="00734C28" w:rsidRPr="00C9155D">
        <w:rPr>
          <w:rStyle w:val="Leadline"/>
          <w:b w:val="0"/>
          <w:bCs w:val="0"/>
        </w:rPr>
        <w:t xml:space="preserve"> types of treatment that are defined in each of the applicable Stat</w:t>
      </w:r>
      <w:r>
        <w:rPr>
          <w:rStyle w:val="Leadline"/>
          <w:b w:val="0"/>
          <w:bCs w:val="0"/>
        </w:rPr>
        <w:t>e statutory provisions.   Arkansas’</w:t>
      </w:r>
      <w:r w:rsidR="0019707D">
        <w:rPr>
          <w:rStyle w:val="Leadline"/>
          <w:b w:val="0"/>
          <w:bCs w:val="0"/>
        </w:rPr>
        <w:t xml:space="preserve"> statutory provisions </w:t>
      </w:r>
      <w:r w:rsidR="00734C28" w:rsidRPr="00C9155D">
        <w:rPr>
          <w:rStyle w:val="Leadline"/>
          <w:b w:val="0"/>
          <w:bCs w:val="0"/>
        </w:rPr>
        <w:t>do not referenc</w:t>
      </w:r>
      <w:r w:rsidR="0019707D">
        <w:rPr>
          <w:rStyle w:val="Leadline"/>
          <w:b w:val="0"/>
          <w:bCs w:val="0"/>
        </w:rPr>
        <w:t>e EHB categories  (most</w:t>
      </w:r>
      <w:r w:rsidR="00734C28" w:rsidRPr="00C9155D">
        <w:rPr>
          <w:rStyle w:val="Leadline"/>
          <w:b w:val="0"/>
          <w:bCs w:val="0"/>
        </w:rPr>
        <w:t xml:space="preserve"> State mandates preceded the ACA)</w:t>
      </w:r>
      <w:r w:rsidR="00715FC1">
        <w:rPr>
          <w:rStyle w:val="Leadline"/>
          <w:b w:val="0"/>
          <w:bCs w:val="0"/>
        </w:rPr>
        <w:t>, except for the autism mandate</w:t>
      </w:r>
      <w:r w:rsidR="00734C28" w:rsidRPr="00C9155D">
        <w:rPr>
          <w:rStyle w:val="Leadline"/>
          <w:b w:val="0"/>
          <w:bCs w:val="0"/>
        </w:rPr>
        <w:t xml:space="preserve">.   The State statutory provisions often reference diagnostic categories or conditions and related treatment </w:t>
      </w:r>
      <w:r w:rsidR="00A72C97">
        <w:rPr>
          <w:rStyle w:val="Leadline"/>
          <w:b w:val="0"/>
          <w:bCs w:val="0"/>
        </w:rPr>
        <w:t>that</w:t>
      </w:r>
      <w:r w:rsidR="00734C28" w:rsidRPr="00C9155D">
        <w:rPr>
          <w:rStyle w:val="Leadline"/>
          <w:b w:val="0"/>
          <w:bCs w:val="0"/>
        </w:rPr>
        <w:t xml:space="preserve"> might occur as part of several EHB categories, such as emergency services, hospitalization, ambulatory services, and rehabilitative</w:t>
      </w:r>
      <w:r>
        <w:rPr>
          <w:rStyle w:val="Leadline"/>
          <w:b w:val="0"/>
          <w:bCs w:val="0"/>
        </w:rPr>
        <w:t xml:space="preserve"> services.   Arkansas’</w:t>
      </w:r>
      <w:r w:rsidR="00734C28" w:rsidRPr="00C9155D">
        <w:rPr>
          <w:rStyle w:val="Leadline"/>
          <w:b w:val="0"/>
          <w:bCs w:val="0"/>
        </w:rPr>
        <w:t xml:space="preserve"> mandates pertain to:      </w:t>
      </w:r>
    </w:p>
    <w:p w:rsidR="00734C28" w:rsidRPr="00C9155D" w:rsidRDefault="00734C28" w:rsidP="00734C28">
      <w:pPr>
        <w:pStyle w:val="Bullet1"/>
        <w:rPr>
          <w:rStyle w:val="Leadline"/>
          <w:b w:val="0"/>
          <w:bCs w:val="0"/>
        </w:rPr>
      </w:pPr>
      <w:r w:rsidRPr="00C9155D">
        <w:rPr>
          <w:rStyle w:val="Leadline"/>
          <w:b w:val="0"/>
          <w:bCs w:val="0"/>
        </w:rPr>
        <w:t>Autism spectrum disorders</w:t>
      </w:r>
      <w:r>
        <w:rPr>
          <w:rStyle w:val="Leadline"/>
          <w:b w:val="0"/>
          <w:bCs w:val="0"/>
        </w:rPr>
        <w:t>;</w:t>
      </w:r>
    </w:p>
    <w:p w:rsidR="00734C28" w:rsidRPr="00C9155D" w:rsidRDefault="005119CC" w:rsidP="00734C28">
      <w:pPr>
        <w:pStyle w:val="Bullet1"/>
      </w:pPr>
      <w:bookmarkStart w:id="13" w:name="NRS689BSec0335"/>
      <w:bookmarkEnd w:id="13"/>
      <w:r>
        <w:t>Breast reconstruction/mastectomy</w:t>
      </w:r>
      <w:r w:rsidR="00734C28">
        <w:t>;</w:t>
      </w:r>
    </w:p>
    <w:p w:rsidR="00734C28" w:rsidRPr="00C9155D" w:rsidRDefault="005119CC" w:rsidP="00734C28">
      <w:pPr>
        <w:pStyle w:val="Bullet1"/>
      </w:pPr>
      <w:r>
        <w:t>Children’s preventative healthcare</w:t>
      </w:r>
      <w:r w:rsidR="00734C28">
        <w:t>;</w:t>
      </w:r>
    </w:p>
    <w:p w:rsidR="00734C28" w:rsidRPr="00C9155D" w:rsidRDefault="005119CC" w:rsidP="00734C28">
      <w:pPr>
        <w:pStyle w:val="Bullet1"/>
      </w:pPr>
      <w:r>
        <w:t>Colorectal cancer screening</w:t>
      </w:r>
      <w:r w:rsidR="00734C28">
        <w:t>;</w:t>
      </w:r>
    </w:p>
    <w:p w:rsidR="00734C28" w:rsidRPr="00C9155D" w:rsidRDefault="005119CC" w:rsidP="00734C28">
      <w:pPr>
        <w:pStyle w:val="Bullet1"/>
      </w:pPr>
      <w:r>
        <w:lastRenderedPageBreak/>
        <w:t xml:space="preserve">Dental </w:t>
      </w:r>
      <w:r w:rsidR="0083513D">
        <w:t xml:space="preserve">general </w:t>
      </w:r>
      <w:r>
        <w:t>anesthesia</w:t>
      </w:r>
      <w:r w:rsidR="0083513D">
        <w:t xml:space="preserve"> for individuals with a physical or mental condition that prevents the effective use of local anesthesia;</w:t>
      </w:r>
      <w:r w:rsidR="00734C28" w:rsidRPr="00C9155D">
        <w:tab/>
      </w:r>
    </w:p>
    <w:p w:rsidR="00734C28" w:rsidRPr="00C9155D" w:rsidRDefault="005119CC" w:rsidP="00734C28">
      <w:pPr>
        <w:pStyle w:val="Bullet1"/>
      </w:pPr>
      <w:r>
        <w:t>Diabetic supplies/education</w:t>
      </w:r>
      <w:r w:rsidR="00734C28">
        <w:t>;</w:t>
      </w:r>
      <w:r w:rsidR="00734C28" w:rsidRPr="00C9155D">
        <w:tab/>
      </w:r>
    </w:p>
    <w:p w:rsidR="00734C28" w:rsidRPr="00C9155D" w:rsidRDefault="004D18CF" w:rsidP="00734C28">
      <w:pPr>
        <w:pStyle w:val="Bullet1"/>
      </w:pPr>
      <w:r>
        <w:t>Inclusion of contraceptives if an outpatient prescription drug benefit is offered</w:t>
      </w:r>
      <w:r w:rsidR="00734C28">
        <w:t>;</w:t>
      </w:r>
    </w:p>
    <w:p w:rsidR="00734C28" w:rsidRPr="00C9155D" w:rsidRDefault="004D18CF" w:rsidP="00734C28">
      <w:pPr>
        <w:pStyle w:val="Bullet1"/>
      </w:pPr>
      <w:r>
        <w:t>Medically necessary foods, formula for PKU and low-protein modified food products</w:t>
      </w:r>
      <w:r w:rsidR="00734C28">
        <w:t>;</w:t>
      </w:r>
    </w:p>
    <w:p w:rsidR="00734C28" w:rsidRPr="00C9155D" w:rsidRDefault="004D18CF" w:rsidP="00734C28">
      <w:pPr>
        <w:pStyle w:val="Bullet1"/>
      </w:pPr>
      <w:r>
        <w:t>Gastric pacemakers</w:t>
      </w:r>
      <w:r w:rsidR="00734C28">
        <w:t>;</w:t>
      </w:r>
    </w:p>
    <w:p w:rsidR="00734C28" w:rsidRPr="00C9155D" w:rsidRDefault="004D18CF" w:rsidP="00734C28">
      <w:pPr>
        <w:pStyle w:val="Bullet1"/>
      </w:pPr>
      <w:r>
        <w:t>In-vitro fertilization</w:t>
      </w:r>
      <w:r w:rsidR="00734C28">
        <w:t>;</w:t>
      </w:r>
    </w:p>
    <w:p w:rsidR="00734C28" w:rsidRPr="00C9155D" w:rsidRDefault="009C0DA1" w:rsidP="007A2475">
      <w:pPr>
        <w:pStyle w:val="Bullet1"/>
      </w:pPr>
      <w:r>
        <w:t>Treatment of loss or impairment of speech or hearing</w:t>
      </w:r>
      <w:r w:rsidR="00734C28">
        <w:t>;</w:t>
      </w:r>
      <w:r w:rsidR="00734C28" w:rsidRPr="00C9155D">
        <w:tab/>
      </w:r>
      <w:r w:rsidR="00734C28" w:rsidRPr="00C9155D">
        <w:tab/>
      </w:r>
    </w:p>
    <w:p w:rsidR="00734C28" w:rsidRPr="00C9155D" w:rsidRDefault="00734C28" w:rsidP="00734C28">
      <w:pPr>
        <w:pStyle w:val="Bullet1"/>
      </w:pPr>
      <w:r w:rsidRPr="00C9155D">
        <w:t>A minimum stay in hospital in connection with childbirth</w:t>
      </w:r>
      <w:r>
        <w:t>;</w:t>
      </w:r>
    </w:p>
    <w:p w:rsidR="00734C28" w:rsidRPr="00C9155D" w:rsidRDefault="009039A5" w:rsidP="00734C28">
      <w:pPr>
        <w:pStyle w:val="Bullet1"/>
      </w:pPr>
      <w:r>
        <w:t>Coverage of mental health treatment in parity with physical health treatment</w:t>
      </w:r>
      <w:r w:rsidR="00734C28">
        <w:t>;</w:t>
      </w:r>
    </w:p>
    <w:p w:rsidR="00734C28" w:rsidRPr="00C9155D" w:rsidRDefault="00B9756A" w:rsidP="00734C28">
      <w:pPr>
        <w:pStyle w:val="Bullet1"/>
      </w:pPr>
      <w:r>
        <w:t>Coverage of prescription drugs to treat cancer that have not been FDA approved for treatment of that specific cancer type.</w:t>
      </w:r>
    </w:p>
    <w:p w:rsidR="00734C28" w:rsidRPr="00C9155D" w:rsidRDefault="00B9756A" w:rsidP="00B9756A">
      <w:pPr>
        <w:pStyle w:val="Bullet1"/>
      </w:pPr>
      <w:r>
        <w:t>Coverage of orthotic or prosthetic devices or services</w:t>
      </w:r>
      <w:r w:rsidR="00734C28">
        <w:t>;</w:t>
      </w:r>
      <w:r w:rsidR="00734C28" w:rsidRPr="00C9155D">
        <w:t xml:space="preserve"> </w:t>
      </w:r>
      <w:bookmarkStart w:id="14" w:name="NRS689ASec0487"/>
      <w:bookmarkEnd w:id="14"/>
    </w:p>
    <w:p w:rsidR="00472118" w:rsidRDefault="00D62684" w:rsidP="00734C28">
      <w:pPr>
        <w:pStyle w:val="Paragraph"/>
      </w:pPr>
      <w:r>
        <w:t xml:space="preserve">If the State wants </w:t>
      </w:r>
      <w:r w:rsidR="007850E2">
        <w:t>to avoid any liability for health insurance exchange premiums, the Arkansas</w:t>
      </w:r>
      <w:r>
        <w:t xml:space="preserve"> </w:t>
      </w:r>
      <w:r w:rsidR="00734C28">
        <w:t>Division of Insurance</w:t>
      </w:r>
      <w:r>
        <w:t xml:space="preserve"> (</w:t>
      </w:r>
      <w:r w:rsidR="00734C28">
        <w:t>as the authority having jurisdiction over the interpretation and enforcement of the State mandates</w:t>
      </w:r>
      <w:r>
        <w:t>)</w:t>
      </w:r>
      <w:r w:rsidR="00734C28">
        <w:t xml:space="preserve"> </w:t>
      </w:r>
      <w:r>
        <w:t>could stipulate that it</w:t>
      </w:r>
      <w:r w:rsidR="00A72C97">
        <w:t xml:space="preserve"> </w:t>
      </w:r>
      <w:r w:rsidR="00734C28">
        <w:t>does not intend to interpret any of the State mandates as requiring coverage that would not be required as part of an EHB under</w:t>
      </w:r>
      <w:r w:rsidR="007850E2">
        <w:t xml:space="preserve"> the ACA.</w:t>
      </w:r>
      <w:r w:rsidR="00472118">
        <w:t xml:space="preserve"> This interpretation could be subject to legal challenge.</w:t>
      </w:r>
    </w:p>
    <w:p w:rsidR="00734C28" w:rsidRDefault="007850E2" w:rsidP="00906CE2">
      <w:pPr>
        <w:pStyle w:val="Paragraph"/>
      </w:pPr>
      <w:r>
        <w:t>Alternatively, Arkansas</w:t>
      </w:r>
      <w:r w:rsidR="00734C28">
        <w:t xml:space="preserve"> State law could be amended to include such an across-the-board stipulation.  </w:t>
      </w:r>
      <w:r>
        <w:t>Finally, the Arkansas</w:t>
      </w:r>
      <w:r w:rsidR="00D62684">
        <w:t xml:space="preserve"> Legislature could choose to delete State mandates that exceed the minim</w:t>
      </w:r>
      <w:r w:rsidR="00715FC1">
        <w:t xml:space="preserve">um requirements under the ACA. </w:t>
      </w:r>
    </w:p>
    <w:p w:rsidR="00715FC1" w:rsidRDefault="00715FC1" w:rsidP="00906CE2">
      <w:pPr>
        <w:pStyle w:val="Paragraph"/>
      </w:pPr>
      <w:r>
        <w:t>The following pages begin to describe specific details about coverage in each of the seven plans eligible to serve as the Arkansas benchmark.</w:t>
      </w:r>
    </w:p>
    <w:p w:rsidR="00ED6A91" w:rsidRDefault="00ED6A91" w:rsidP="00ED6A91">
      <w:pPr>
        <w:pStyle w:val="Heading1"/>
      </w:pPr>
      <w:bookmarkStart w:id="15" w:name="_Toc316415740"/>
      <w:r>
        <w:lastRenderedPageBreak/>
        <w:t>Analysis of Health Benefit Plans</w:t>
      </w:r>
      <w:bookmarkEnd w:id="15"/>
    </w:p>
    <w:p w:rsidR="003D4AD9" w:rsidRPr="00FC295E" w:rsidRDefault="007850E2" w:rsidP="003D4AD9">
      <w:pPr>
        <w:pStyle w:val="Paragraph"/>
      </w:pPr>
      <w:r>
        <w:t>This s</w:t>
      </w:r>
      <w:r w:rsidR="00CC0365">
        <w:t>ection</w:t>
      </w:r>
      <w:r w:rsidR="00CC0365" w:rsidRPr="00FC295E">
        <w:t xml:space="preserve"> summarize</w:t>
      </w:r>
      <w:r w:rsidR="00CC0365">
        <w:t>s the</w:t>
      </w:r>
      <w:r w:rsidR="00CC0365" w:rsidRPr="00FC295E">
        <w:t xml:space="preserve"> benefit desc</w:t>
      </w:r>
      <w:r>
        <w:t>riptions submitted to the Arkansas</w:t>
      </w:r>
      <w:r w:rsidR="00CC0365" w:rsidRPr="00FC295E">
        <w:t xml:space="preserve"> Division of Insurance with respect to a total of </w:t>
      </w:r>
      <w:r>
        <w:t>seven</w:t>
      </w:r>
      <w:r w:rsidR="00CC0365">
        <w:t xml:space="preserve"> plans.</w:t>
      </w:r>
      <w:r w:rsidR="003D4AD9">
        <w:t xml:space="preserve">  </w:t>
      </w:r>
      <w:r w:rsidR="003D4AD9" w:rsidRPr="00FC295E">
        <w:t>The benefit descriptions subm</w:t>
      </w:r>
      <w:r>
        <w:t>itted by the plans to the Arkansas</w:t>
      </w:r>
      <w:r w:rsidR="003D4AD9" w:rsidRPr="00FC295E">
        <w:t xml:space="preserve"> Division of Insurance are attached</w:t>
      </w:r>
      <w:r w:rsidR="003D4AD9">
        <w:t xml:space="preserve"> hereto as</w:t>
      </w:r>
      <w:r w:rsidR="003D4AD9" w:rsidRPr="00FC295E">
        <w:t xml:space="preserve"> Appendices </w:t>
      </w:r>
      <w:r w:rsidR="003D4AD9">
        <w:t>A</w:t>
      </w:r>
      <w:r w:rsidR="003D4AD9" w:rsidRPr="00FC295E">
        <w:t xml:space="preserve"> </w:t>
      </w:r>
      <w:r w:rsidR="003D4AD9">
        <w:t>through</w:t>
      </w:r>
      <w:r w:rsidR="003D4AD9" w:rsidRPr="00FC295E">
        <w:t xml:space="preserve"> </w:t>
      </w:r>
      <w:r>
        <w:t>G</w:t>
      </w:r>
      <w:r w:rsidR="003D4AD9">
        <w:t>.</w:t>
      </w:r>
      <w:r w:rsidR="00A72C97">
        <w:t xml:space="preserve">  </w:t>
      </w:r>
      <w:r w:rsidR="003D4AD9">
        <w:t xml:space="preserve">The </w:t>
      </w:r>
      <w:r w:rsidR="003D4AD9" w:rsidRPr="00FC295E">
        <w:t xml:space="preserve">extent to which each </w:t>
      </w:r>
      <w:r w:rsidR="003D4AD9">
        <w:t xml:space="preserve">plan </w:t>
      </w:r>
      <w:r w:rsidR="003D4AD9" w:rsidRPr="00FC295E">
        <w:t>cover</w:t>
      </w:r>
      <w:r w:rsidR="003D4AD9">
        <w:t>s</w:t>
      </w:r>
      <w:r w:rsidR="003D4AD9" w:rsidRPr="00FC295E">
        <w:t xml:space="preserve"> </w:t>
      </w:r>
      <w:r w:rsidR="003D4AD9">
        <w:t xml:space="preserve">EHB </w:t>
      </w:r>
      <w:r w:rsidR="003D4AD9" w:rsidRPr="00FC295E">
        <w:t xml:space="preserve">items or services </w:t>
      </w:r>
      <w:r w:rsidR="003D4AD9">
        <w:t xml:space="preserve">mandated by the ACA is listed herein in </w:t>
      </w:r>
      <w:r w:rsidR="00D62684">
        <w:t>Section 4.</w:t>
      </w:r>
      <w:r w:rsidR="002E16B6">
        <w:t xml:space="preserve"> </w:t>
      </w:r>
    </w:p>
    <w:p w:rsidR="00BB5C8F" w:rsidRDefault="00ED6A91" w:rsidP="005D1192">
      <w:pPr>
        <w:pStyle w:val="Heading2"/>
      </w:pPr>
      <w:bookmarkStart w:id="16" w:name="_Toc316415741"/>
      <w:r>
        <w:t xml:space="preserve">Small Group </w:t>
      </w:r>
      <w:r w:rsidR="00CC469D">
        <w:t>Plans</w:t>
      </w:r>
      <w:bookmarkEnd w:id="16"/>
    </w:p>
    <w:p w:rsidR="00940EC3" w:rsidRDefault="006142D4" w:rsidP="00940EC3">
      <w:pPr>
        <w:pStyle w:val="Paragraph"/>
      </w:pPr>
      <w:r>
        <w:t>T</w:t>
      </w:r>
      <w:r w:rsidR="00940EC3">
        <w:t xml:space="preserve">he three largest small </w:t>
      </w:r>
      <w:r w:rsidR="00940EC3" w:rsidRPr="00940EC3">
        <w:t>group</w:t>
      </w:r>
      <w:r w:rsidR="007850E2">
        <w:t xml:space="preserve"> insurance products in Arkansas</w:t>
      </w:r>
      <w:r>
        <w:t xml:space="preserve"> are as follows</w:t>
      </w:r>
      <w:r w:rsidR="00940EC3">
        <w:t>:</w:t>
      </w:r>
    </w:p>
    <w:p w:rsidR="00940EC3" w:rsidRPr="003D4AD9" w:rsidRDefault="009942B5" w:rsidP="00836CEB">
      <w:pPr>
        <w:pStyle w:val="Numbering"/>
        <w:numPr>
          <w:ilvl w:val="0"/>
          <w:numId w:val="11"/>
        </w:numPr>
      </w:pPr>
      <w:r>
        <w:t>Qual Choice Point of Service (POS)</w:t>
      </w:r>
      <w:r w:rsidR="00940EC3" w:rsidRPr="003D4AD9">
        <w:t>;</w:t>
      </w:r>
    </w:p>
    <w:p w:rsidR="00940EC3" w:rsidRPr="00940EC3" w:rsidRDefault="009942B5" w:rsidP="00836CEB">
      <w:pPr>
        <w:pStyle w:val="ListParagraph"/>
        <w:numPr>
          <w:ilvl w:val="0"/>
          <w:numId w:val="6"/>
        </w:numPr>
        <w:spacing w:before="200"/>
        <w:ind w:right="720"/>
        <w:contextualSpacing w:val="0"/>
        <w:rPr>
          <w:rFonts w:ascii="Times New Roman" w:hAnsi="Times New Roman"/>
        </w:rPr>
      </w:pPr>
      <w:r>
        <w:rPr>
          <w:rFonts w:ascii="Times New Roman" w:hAnsi="Times New Roman"/>
        </w:rPr>
        <w:t>Health Advantage Open Access Point of Service (POS)</w:t>
      </w:r>
      <w:r w:rsidR="00940EC3" w:rsidRPr="00940EC3">
        <w:rPr>
          <w:rFonts w:ascii="Times New Roman" w:hAnsi="Times New Roman"/>
        </w:rPr>
        <w:t>; and</w:t>
      </w:r>
    </w:p>
    <w:p w:rsidR="00940EC3" w:rsidRDefault="009942B5" w:rsidP="00940EC3">
      <w:pPr>
        <w:pStyle w:val="Numbering"/>
      </w:pPr>
      <w:r>
        <w:t>Blue Cross/Blue Shield Comprehensive Major Medical PPO</w:t>
      </w:r>
      <w:r w:rsidR="00940EC3" w:rsidRPr="00940EC3">
        <w:t>.</w:t>
      </w:r>
    </w:p>
    <w:p w:rsidR="00ED6A91" w:rsidRDefault="00ED6A91" w:rsidP="005D1192">
      <w:pPr>
        <w:pStyle w:val="Heading2"/>
      </w:pPr>
      <w:bookmarkStart w:id="17" w:name="_Toc316415742"/>
      <w:r>
        <w:t>State Employee Plans</w:t>
      </w:r>
      <w:bookmarkEnd w:id="17"/>
    </w:p>
    <w:p w:rsidR="00940EC3" w:rsidRDefault="006142D4" w:rsidP="00940EC3">
      <w:pPr>
        <w:pStyle w:val="Paragraph"/>
      </w:pPr>
      <w:r>
        <w:t>The</w:t>
      </w:r>
      <w:r w:rsidR="00940EC3">
        <w:t xml:space="preserve"> state employee</w:t>
      </w:r>
      <w:r w:rsidR="009942B5">
        <w:t xml:space="preserve"> health benefit plans in Arkansas</w:t>
      </w:r>
      <w:r>
        <w:t xml:space="preserve"> is as follows</w:t>
      </w:r>
      <w:r w:rsidR="00940EC3">
        <w:t>:</w:t>
      </w:r>
    </w:p>
    <w:p w:rsidR="00906CE2" w:rsidRDefault="00906CE2" w:rsidP="00906CE2">
      <w:pPr>
        <w:pStyle w:val="Paragraph"/>
        <w:numPr>
          <w:ilvl w:val="0"/>
          <w:numId w:val="12"/>
        </w:numPr>
      </w:pPr>
      <w:r>
        <w:t>AR Benefits for State and Public School Employee Plan</w:t>
      </w:r>
    </w:p>
    <w:p w:rsidR="00ED6A91" w:rsidRDefault="00ED6A91" w:rsidP="005D1192">
      <w:pPr>
        <w:pStyle w:val="Heading2"/>
      </w:pPr>
      <w:bookmarkStart w:id="18" w:name="_Toc316415743"/>
      <w:r>
        <w:t>Federal Employee Plans</w:t>
      </w:r>
      <w:bookmarkEnd w:id="18"/>
    </w:p>
    <w:p w:rsidR="00940EC3" w:rsidRDefault="00703B6F" w:rsidP="00940EC3">
      <w:pPr>
        <w:pStyle w:val="Paragraph"/>
      </w:pPr>
      <w:r>
        <w:t>Listed are t</w:t>
      </w:r>
      <w:r w:rsidR="00940EC3">
        <w:t>he three largest federal employe</w:t>
      </w:r>
      <w:r w:rsidR="004D3EA4">
        <w:t>e health benefit plans in Arkansas</w:t>
      </w:r>
      <w:r w:rsidR="00940EC3">
        <w:t>:</w:t>
      </w:r>
    </w:p>
    <w:p w:rsidR="00940EC3" w:rsidRDefault="00ED4F91" w:rsidP="00836CEB">
      <w:pPr>
        <w:pStyle w:val="Numbering"/>
        <w:numPr>
          <w:ilvl w:val="0"/>
          <w:numId w:val="9"/>
        </w:numPr>
      </w:pPr>
      <w:r>
        <w:t>Blue Cross</w:t>
      </w:r>
      <w:r w:rsidR="00F537B3">
        <w:t>/Blue Shield FEHP Standard Option</w:t>
      </w:r>
    </w:p>
    <w:p w:rsidR="00940EC3" w:rsidRDefault="00F537B3" w:rsidP="00836CEB">
      <w:pPr>
        <w:pStyle w:val="Numbering"/>
        <w:numPr>
          <w:ilvl w:val="0"/>
          <w:numId w:val="9"/>
        </w:numPr>
      </w:pPr>
      <w:r>
        <w:t>Blue Cross/Blue Shield FEHP Basic Option</w:t>
      </w:r>
    </w:p>
    <w:p w:rsidR="00894D5A" w:rsidRDefault="00F537B3" w:rsidP="00940EC3">
      <w:pPr>
        <w:pStyle w:val="Numbering"/>
        <w:numPr>
          <w:ilvl w:val="0"/>
          <w:numId w:val="9"/>
        </w:numPr>
      </w:pPr>
      <w:r>
        <w:t>Qual Choice POS</w:t>
      </w:r>
    </w:p>
    <w:p w:rsidR="00ED6A91" w:rsidRDefault="00ED6A91" w:rsidP="005D1192">
      <w:pPr>
        <w:pStyle w:val="Heading2"/>
      </w:pPr>
      <w:bookmarkStart w:id="19" w:name="_Toc316415744"/>
      <w:r>
        <w:t>HMO Plan</w:t>
      </w:r>
      <w:bookmarkEnd w:id="19"/>
    </w:p>
    <w:p w:rsidR="00940EC3" w:rsidRDefault="00E253EC" w:rsidP="00940EC3">
      <w:pPr>
        <w:pStyle w:val="Paragraph"/>
      </w:pPr>
      <w:r>
        <w:t>According to the Arkansas Insurance Department, Arkansas is an “any willing provider” state that has no health maintenance organizations that restrict networks and provide no out of network care.</w:t>
      </w:r>
      <w:r w:rsidR="00906CE2">
        <w:t xml:space="preserve"> Health Advantage provides HMO coverage under the state and public school employee plan, which is the same benefit package already identified under “state employee plan.”</w:t>
      </w:r>
      <w:r>
        <w:t xml:space="preserve"> Therefore, the fourth category of options available to states in selecting their essential health benefits provides no additional option for Arkansas.</w:t>
      </w:r>
    </w:p>
    <w:p w:rsidR="00E253EC" w:rsidRDefault="00E253EC" w:rsidP="00940EC3">
      <w:pPr>
        <w:pStyle w:val="Paragraph"/>
      </w:pPr>
      <w:r>
        <w:t>The table prepared and</w:t>
      </w:r>
      <w:r w:rsidR="00906CE2">
        <w:t xml:space="preserve"> included on the pages that follow this narrative assess the benefits covered under the seven plans eligible to serve as EHB benchmarks</w:t>
      </w:r>
      <w:r w:rsidR="00F929CE">
        <w:t xml:space="preserve"> to determine 1) their compliance with the ten federally required EHB categories, and 2) compliance with state benchmarks. A separate table is provided </w:t>
      </w:r>
      <w:r w:rsidR="00F929CE">
        <w:lastRenderedPageBreak/>
        <w:t>that compares the narrow set of benefits most likely to vary among the seven plans, according to CCIIO analysis.</w:t>
      </w:r>
    </w:p>
    <w:p w:rsidR="003A21AF" w:rsidRPr="00F929CE" w:rsidRDefault="00F929CE" w:rsidP="00F929CE">
      <w:pPr>
        <w:pStyle w:val="Paragraph"/>
        <w:rPr>
          <w:b/>
          <w:sz w:val="28"/>
          <w:szCs w:val="28"/>
        </w:rPr>
      </w:pPr>
      <w:r w:rsidRPr="00F929CE">
        <w:rPr>
          <w:b/>
          <w:sz w:val="28"/>
          <w:szCs w:val="28"/>
        </w:rPr>
        <w:t>5</w:t>
      </w:r>
      <w:r w:rsidRPr="00F929CE">
        <w:rPr>
          <w:b/>
          <w:sz w:val="28"/>
          <w:szCs w:val="28"/>
        </w:rPr>
        <w:tab/>
      </w:r>
      <w:r>
        <w:rPr>
          <w:b/>
          <w:sz w:val="28"/>
          <w:szCs w:val="28"/>
        </w:rPr>
        <w:t>Arkansas EHB Benchmark</w:t>
      </w:r>
      <w:r w:rsidR="0083513D">
        <w:rPr>
          <w:b/>
          <w:sz w:val="28"/>
          <w:szCs w:val="28"/>
        </w:rPr>
        <w:t xml:space="preserve"> Options and Key Considerations</w:t>
      </w:r>
    </w:p>
    <w:p w:rsidR="0083513D" w:rsidRPr="0083513D" w:rsidRDefault="0083513D" w:rsidP="0083513D">
      <w:pPr>
        <w:pStyle w:val="Paragraph"/>
        <w:rPr>
          <w:b/>
          <w:u w:val="single"/>
        </w:rPr>
      </w:pPr>
      <w:r w:rsidRPr="0083513D">
        <w:rPr>
          <w:b/>
          <w:u w:val="single"/>
        </w:rPr>
        <w:t xml:space="preserve">Option 1: Blue Cross/Blue Shield Comprehensive Major Medical PPO </w:t>
      </w:r>
      <w:r w:rsidR="0069791A">
        <w:rPr>
          <w:b/>
          <w:u w:val="single"/>
        </w:rPr>
        <w:t>(Small Group)</w:t>
      </w:r>
    </w:p>
    <w:p w:rsidR="00564355" w:rsidRDefault="00564355" w:rsidP="0083513D">
      <w:pPr>
        <w:pStyle w:val="Paragraph"/>
        <w:numPr>
          <w:ilvl w:val="0"/>
          <w:numId w:val="14"/>
        </w:numPr>
      </w:pPr>
      <w:r>
        <w:t>This plan provides a $15,000 lifetime maximum benefit for in-vitro fertilization in compliance with the state mandate.</w:t>
      </w:r>
    </w:p>
    <w:p w:rsidR="00564355" w:rsidRDefault="00564355" w:rsidP="0083513D">
      <w:pPr>
        <w:pStyle w:val="Paragraph"/>
        <w:numPr>
          <w:ilvl w:val="0"/>
          <w:numId w:val="14"/>
        </w:numPr>
      </w:pPr>
      <w:r>
        <w:t xml:space="preserve">This plan provides </w:t>
      </w:r>
      <w:r w:rsidR="00784A2D">
        <w:t>applied behavioral analysis (ABA) for treatment of autism up to a maximum of $50,000 per year.</w:t>
      </w:r>
    </w:p>
    <w:p w:rsidR="0083513D" w:rsidRDefault="0083513D" w:rsidP="0083513D">
      <w:pPr>
        <w:pStyle w:val="Paragraph"/>
        <w:numPr>
          <w:ilvl w:val="0"/>
          <w:numId w:val="14"/>
        </w:numPr>
      </w:pPr>
      <w:r>
        <w:t>The pediatric dental and vision bene</w:t>
      </w:r>
      <w:r w:rsidR="0069791A">
        <w:t>fits under this plan may</w:t>
      </w:r>
      <w:r>
        <w:t xml:space="preserve"> not be robust enough to meet federal minimum requirements. </w:t>
      </w:r>
      <w:r w:rsidR="0069791A">
        <w:t>Therefore, this plan may</w:t>
      </w:r>
      <w:r>
        <w:t xml:space="preserve"> require an adjustment to add pediatric dental and vision benefits if it is selected.</w:t>
      </w:r>
    </w:p>
    <w:p w:rsidR="00CA1CDB" w:rsidRDefault="00CA1CDB" w:rsidP="0083513D">
      <w:pPr>
        <w:pStyle w:val="Paragraph"/>
        <w:numPr>
          <w:ilvl w:val="0"/>
          <w:numId w:val="14"/>
        </w:numPr>
      </w:pPr>
      <w:r>
        <w:t>This plan does not cover</w:t>
      </w:r>
      <w:r w:rsidR="00CF1188">
        <w:t>, adult dental,</w:t>
      </w:r>
      <w:r>
        <w:t xml:space="preserve"> chiropractic care, weight loss programs, hearing aids and acupuncture for use as anesthesia.</w:t>
      </w:r>
    </w:p>
    <w:p w:rsidR="00CA1CDB" w:rsidRDefault="00CA1CDB" w:rsidP="0083513D">
      <w:pPr>
        <w:pStyle w:val="Paragraph"/>
        <w:numPr>
          <w:ilvl w:val="0"/>
          <w:numId w:val="14"/>
        </w:numPr>
      </w:pPr>
      <w:r>
        <w:t>This plan covers all state mandates.</w:t>
      </w:r>
    </w:p>
    <w:p w:rsidR="00CA1CDB" w:rsidRPr="0083513D" w:rsidRDefault="0069791A" w:rsidP="00CA1CDB">
      <w:pPr>
        <w:pStyle w:val="Paragraph"/>
        <w:rPr>
          <w:b/>
          <w:u w:val="single"/>
        </w:rPr>
      </w:pPr>
      <w:r>
        <w:rPr>
          <w:b/>
          <w:u w:val="single"/>
        </w:rPr>
        <w:t>Option 2</w:t>
      </w:r>
      <w:r w:rsidR="00CA1CDB" w:rsidRPr="0083513D">
        <w:rPr>
          <w:b/>
          <w:u w:val="single"/>
        </w:rPr>
        <w:t xml:space="preserve">: </w:t>
      </w:r>
      <w:r>
        <w:rPr>
          <w:b/>
          <w:u w:val="single"/>
        </w:rPr>
        <w:t>Health Advantage Open Access POS</w:t>
      </w:r>
      <w:r w:rsidR="00CA1CDB" w:rsidRPr="0083513D">
        <w:rPr>
          <w:b/>
          <w:u w:val="single"/>
        </w:rPr>
        <w:t xml:space="preserve"> </w:t>
      </w:r>
      <w:r>
        <w:rPr>
          <w:b/>
          <w:u w:val="single"/>
        </w:rPr>
        <w:t>(Small Group)</w:t>
      </w:r>
    </w:p>
    <w:p w:rsidR="009C109B" w:rsidRDefault="009C109B" w:rsidP="00715FC1">
      <w:pPr>
        <w:pStyle w:val="Paragraph"/>
        <w:numPr>
          <w:ilvl w:val="0"/>
          <w:numId w:val="14"/>
        </w:numPr>
      </w:pPr>
      <w:r>
        <w:t>This plan is exempt from the in vitro fertilization state mandate and does not cover that service.</w:t>
      </w:r>
    </w:p>
    <w:p w:rsidR="00CA1CDB" w:rsidRDefault="00CA1CDB" w:rsidP="00CA1CDB">
      <w:pPr>
        <w:pStyle w:val="Paragraph"/>
        <w:numPr>
          <w:ilvl w:val="0"/>
          <w:numId w:val="14"/>
        </w:numPr>
      </w:pPr>
      <w:r>
        <w:t>The pediatric dental and vision bene</w:t>
      </w:r>
      <w:r w:rsidR="0069791A">
        <w:t>fits under this plan may</w:t>
      </w:r>
      <w:r>
        <w:t xml:space="preserve"> not be robust enough to meet federal minimum requirements. </w:t>
      </w:r>
      <w:r w:rsidR="0069791A">
        <w:t>Therefore, this plan may</w:t>
      </w:r>
      <w:r>
        <w:t xml:space="preserve"> require an adjustment to add pediatric dental and vision benefits if it is selected.</w:t>
      </w:r>
    </w:p>
    <w:p w:rsidR="00CA1CDB" w:rsidRDefault="00CA1CDB" w:rsidP="00715FC1">
      <w:pPr>
        <w:pStyle w:val="Paragraph"/>
        <w:numPr>
          <w:ilvl w:val="0"/>
          <w:numId w:val="14"/>
        </w:numPr>
      </w:pPr>
      <w:r>
        <w:t>This plan do</w:t>
      </w:r>
      <w:r w:rsidR="009F07AE">
        <w:t xml:space="preserve">es not cover </w:t>
      </w:r>
      <w:r w:rsidR="00CF1188">
        <w:t xml:space="preserve">adult dental, </w:t>
      </w:r>
      <w:r>
        <w:t>weight loss programs, hearing aids</w:t>
      </w:r>
      <w:r w:rsidR="009F07AE">
        <w:t>, bariatric surgery</w:t>
      </w:r>
      <w:r>
        <w:t xml:space="preserve"> and acupuncture for use as anesthesia.</w:t>
      </w:r>
    </w:p>
    <w:p w:rsidR="00CA1CDB" w:rsidRPr="0083513D" w:rsidRDefault="009F07AE" w:rsidP="00CA1CDB">
      <w:pPr>
        <w:pStyle w:val="Paragraph"/>
        <w:rPr>
          <w:b/>
          <w:u w:val="single"/>
        </w:rPr>
      </w:pPr>
      <w:r>
        <w:rPr>
          <w:b/>
          <w:u w:val="single"/>
        </w:rPr>
        <w:t>Option 3</w:t>
      </w:r>
      <w:r w:rsidR="00CA1CDB" w:rsidRPr="0083513D">
        <w:rPr>
          <w:b/>
          <w:u w:val="single"/>
        </w:rPr>
        <w:t xml:space="preserve">: </w:t>
      </w:r>
      <w:r>
        <w:rPr>
          <w:b/>
          <w:u w:val="single"/>
        </w:rPr>
        <w:t>Qual Choice POS (Small Group)</w:t>
      </w:r>
      <w:r w:rsidR="00CA1CDB" w:rsidRPr="0083513D">
        <w:rPr>
          <w:b/>
          <w:u w:val="single"/>
        </w:rPr>
        <w:t xml:space="preserve"> </w:t>
      </w:r>
    </w:p>
    <w:p w:rsidR="00784A2D" w:rsidRDefault="00784A2D" w:rsidP="00715FC1">
      <w:pPr>
        <w:pStyle w:val="Paragraph"/>
        <w:numPr>
          <w:ilvl w:val="0"/>
          <w:numId w:val="14"/>
        </w:numPr>
      </w:pPr>
      <w:r>
        <w:t>This plan is exempt from the in vitro fertilization state mandate and does not cover that service.</w:t>
      </w:r>
    </w:p>
    <w:p w:rsidR="00CA1CDB" w:rsidRDefault="00CA1CDB" w:rsidP="00CA1CDB">
      <w:pPr>
        <w:pStyle w:val="Paragraph"/>
        <w:numPr>
          <w:ilvl w:val="0"/>
          <w:numId w:val="14"/>
        </w:numPr>
      </w:pPr>
      <w:r>
        <w:t>The pediatric dental and vision benefits under this plan will likely not be robust enough to meet federal minimum requirements. Therefore, this plan will likely require an adjustment to add pediatric dental and vision benefits if it is selected.</w:t>
      </w:r>
    </w:p>
    <w:p w:rsidR="00CA1CDB" w:rsidRDefault="00CA1CDB" w:rsidP="00715FC1">
      <w:pPr>
        <w:pStyle w:val="Paragraph"/>
        <w:numPr>
          <w:ilvl w:val="0"/>
          <w:numId w:val="14"/>
        </w:numPr>
      </w:pPr>
      <w:r>
        <w:t>Th</w:t>
      </w:r>
      <w:r w:rsidR="00CF1188">
        <w:t>is plan does not cover adult dental, weight loss, bariatric surgery, and acupuncture as anesthesia.</w:t>
      </w:r>
    </w:p>
    <w:p w:rsidR="00715FC1" w:rsidRDefault="00715FC1" w:rsidP="00715FC1">
      <w:pPr>
        <w:pStyle w:val="Paragraph"/>
        <w:ind w:left="720"/>
      </w:pPr>
    </w:p>
    <w:p w:rsidR="00715FC1" w:rsidRDefault="00715FC1" w:rsidP="00715FC1">
      <w:pPr>
        <w:pStyle w:val="Paragraph"/>
        <w:ind w:left="720"/>
      </w:pPr>
    </w:p>
    <w:p w:rsidR="00CA1CDB" w:rsidRPr="0083513D" w:rsidRDefault="00715FC1" w:rsidP="00CA1CDB">
      <w:pPr>
        <w:pStyle w:val="Paragraph"/>
        <w:rPr>
          <w:b/>
          <w:u w:val="single"/>
        </w:rPr>
      </w:pPr>
      <w:r>
        <w:rPr>
          <w:b/>
          <w:u w:val="single"/>
        </w:rPr>
        <w:lastRenderedPageBreak/>
        <w:t>O</w:t>
      </w:r>
      <w:r w:rsidR="00CF1188">
        <w:rPr>
          <w:b/>
          <w:u w:val="single"/>
        </w:rPr>
        <w:t>ption 4</w:t>
      </w:r>
      <w:r w:rsidR="00CA1CDB" w:rsidRPr="0083513D">
        <w:rPr>
          <w:b/>
          <w:u w:val="single"/>
        </w:rPr>
        <w:t xml:space="preserve">: </w:t>
      </w:r>
      <w:r w:rsidR="00CF1188">
        <w:rPr>
          <w:b/>
          <w:u w:val="single"/>
        </w:rPr>
        <w:t>Federal Employee Blue Cross/Blue Shield Standard Option</w:t>
      </w:r>
    </w:p>
    <w:p w:rsidR="00025920" w:rsidRDefault="00025920" w:rsidP="00CA1CDB">
      <w:pPr>
        <w:pStyle w:val="Paragraph"/>
        <w:numPr>
          <w:ilvl w:val="0"/>
          <w:numId w:val="14"/>
        </w:numPr>
      </w:pPr>
      <w:r>
        <w:t>A comprehensive adult and pediatric dental benefit is included with this plan.</w:t>
      </w:r>
    </w:p>
    <w:p w:rsidR="00CA1CDB" w:rsidRDefault="00990C92" w:rsidP="00CA1CDB">
      <w:pPr>
        <w:pStyle w:val="Paragraph"/>
        <w:numPr>
          <w:ilvl w:val="0"/>
          <w:numId w:val="14"/>
        </w:numPr>
      </w:pPr>
      <w:r>
        <w:t>This plan does not cover two state mandated benefits – in vitro fertilization and applied behavior analysis for autism spectrum disorder.</w:t>
      </w:r>
    </w:p>
    <w:p w:rsidR="00CA1CDB" w:rsidRDefault="00990C92" w:rsidP="00CA1CDB">
      <w:pPr>
        <w:pStyle w:val="Paragraph"/>
        <w:numPr>
          <w:ilvl w:val="0"/>
          <w:numId w:val="14"/>
        </w:numPr>
      </w:pPr>
      <w:r>
        <w:t xml:space="preserve">This plan covers benefits that are not covered by some or all of the state small group plans, including </w:t>
      </w:r>
      <w:r w:rsidR="00E73670">
        <w:t>chirop</w:t>
      </w:r>
      <w:r w:rsidR="00025920">
        <w:t xml:space="preserve">ractic, </w:t>
      </w:r>
      <w:r w:rsidR="00E73670">
        <w:t>bariatric surgery, hearing aids and acupuncture as anesthesia.</w:t>
      </w:r>
    </w:p>
    <w:p w:rsidR="00025920" w:rsidRDefault="00025920" w:rsidP="00CA1CDB">
      <w:pPr>
        <w:pStyle w:val="Paragraph"/>
        <w:numPr>
          <w:ilvl w:val="0"/>
          <w:numId w:val="14"/>
        </w:numPr>
      </w:pPr>
      <w:r>
        <w:t>Coverage of therapies is broader than the small group plans.</w:t>
      </w:r>
    </w:p>
    <w:p w:rsidR="00CA1CDB" w:rsidRPr="0083513D" w:rsidRDefault="00E73670" w:rsidP="00CA1CDB">
      <w:pPr>
        <w:pStyle w:val="Paragraph"/>
        <w:rPr>
          <w:b/>
          <w:u w:val="single"/>
        </w:rPr>
      </w:pPr>
      <w:r>
        <w:rPr>
          <w:b/>
          <w:u w:val="single"/>
        </w:rPr>
        <w:t xml:space="preserve">Option </w:t>
      </w:r>
      <w:r w:rsidR="00A67CB9">
        <w:rPr>
          <w:b/>
          <w:u w:val="single"/>
        </w:rPr>
        <w:t>5: Federal Employee Blue Cross/Blue Shield Basic Option</w:t>
      </w:r>
    </w:p>
    <w:p w:rsidR="00CA1CDB" w:rsidRDefault="00A67CB9" w:rsidP="00CA1CDB">
      <w:pPr>
        <w:pStyle w:val="Paragraph"/>
        <w:numPr>
          <w:ilvl w:val="0"/>
          <w:numId w:val="14"/>
        </w:numPr>
      </w:pPr>
      <w:r>
        <w:t>In general, the Basic option is distinguished from the Standard option by benefit limitations, not categorical inclusion or exclusion of benefits.</w:t>
      </w:r>
    </w:p>
    <w:p w:rsidR="00CA1CDB" w:rsidRDefault="00A67CB9" w:rsidP="00CA1CDB">
      <w:pPr>
        <w:pStyle w:val="Paragraph"/>
        <w:numPr>
          <w:ilvl w:val="0"/>
          <w:numId w:val="14"/>
        </w:numPr>
      </w:pPr>
      <w:r>
        <w:t>Skilled nursing facility coverage is not covered under this plan. The federal standard option covers skilled nursing for those enrolled in Medicare Part A.</w:t>
      </w:r>
    </w:p>
    <w:p w:rsidR="00A67CB9" w:rsidRDefault="00A67CB9" w:rsidP="00A67CB9">
      <w:pPr>
        <w:pStyle w:val="Paragraph"/>
        <w:numPr>
          <w:ilvl w:val="0"/>
          <w:numId w:val="14"/>
        </w:numPr>
      </w:pPr>
      <w:r>
        <w:t>This plan does not cover two state mandated benefits – in vitro fertilization and applied behavior analysis for autism spectrum disorder.</w:t>
      </w:r>
    </w:p>
    <w:p w:rsidR="00A67CB9" w:rsidRDefault="00A67CB9" w:rsidP="00A67CB9">
      <w:pPr>
        <w:pStyle w:val="Paragraph"/>
        <w:numPr>
          <w:ilvl w:val="0"/>
          <w:numId w:val="14"/>
        </w:numPr>
      </w:pPr>
      <w:r>
        <w:t>This plan covers benefits that are not covered by some or all of the state small grou</w:t>
      </w:r>
      <w:r w:rsidR="00025920">
        <w:t>p plans, including adult chiropractic</w:t>
      </w:r>
      <w:r>
        <w:t>, bariatric surgery, hearing aids and acupuncture as anesthesia.</w:t>
      </w:r>
    </w:p>
    <w:p w:rsidR="00025920" w:rsidRDefault="00025920" w:rsidP="00A67CB9">
      <w:pPr>
        <w:pStyle w:val="Paragraph"/>
        <w:numPr>
          <w:ilvl w:val="0"/>
          <w:numId w:val="14"/>
        </w:numPr>
      </w:pPr>
      <w:r>
        <w:t>Comprehensive adult and pediatric dental is offered.</w:t>
      </w:r>
    </w:p>
    <w:p w:rsidR="00A67CB9" w:rsidRPr="0083513D" w:rsidRDefault="00A67CB9" w:rsidP="00A67CB9">
      <w:pPr>
        <w:pStyle w:val="Paragraph"/>
        <w:rPr>
          <w:b/>
          <w:u w:val="single"/>
        </w:rPr>
      </w:pPr>
      <w:r>
        <w:rPr>
          <w:b/>
          <w:u w:val="single"/>
        </w:rPr>
        <w:t>Option 6: QualChoice Federal Plan</w:t>
      </w:r>
    </w:p>
    <w:p w:rsidR="00A67CB9" w:rsidRDefault="00431A7E" w:rsidP="00431A7E">
      <w:pPr>
        <w:pStyle w:val="Paragraph"/>
        <w:numPr>
          <w:ilvl w:val="0"/>
          <w:numId w:val="14"/>
        </w:numPr>
      </w:pPr>
      <w:r>
        <w:t>Dental coverage under this plan is significantly more limited to the two other federal plans and would likely need to be supplemented to meet federal ACA requirements.</w:t>
      </w:r>
    </w:p>
    <w:p w:rsidR="00A67CB9" w:rsidRDefault="00A67CB9" w:rsidP="00A67CB9">
      <w:pPr>
        <w:pStyle w:val="Paragraph"/>
        <w:numPr>
          <w:ilvl w:val="0"/>
          <w:numId w:val="14"/>
        </w:numPr>
      </w:pPr>
      <w:r>
        <w:t>This plan does not cover two state mandated benefits – in vitro fertilization and applied behavior analysis for autism spectrum disorder.</w:t>
      </w:r>
    </w:p>
    <w:p w:rsidR="00A67CB9" w:rsidRDefault="00A67CB9" w:rsidP="00A67CB9">
      <w:pPr>
        <w:pStyle w:val="Paragraph"/>
        <w:numPr>
          <w:ilvl w:val="0"/>
          <w:numId w:val="14"/>
        </w:numPr>
      </w:pPr>
      <w:r>
        <w:t>This plan covers benefits that are not covered by some or all of the sta</w:t>
      </w:r>
      <w:r w:rsidR="00431A7E">
        <w:t xml:space="preserve">te small group plans, including </w:t>
      </w:r>
      <w:r w:rsidR="00025920">
        <w:t>chiropractic</w:t>
      </w:r>
      <w:r>
        <w:t>, bariatric surgery, hearing aids and acupuncture as anesthesia.</w:t>
      </w:r>
    </w:p>
    <w:p w:rsidR="00025920" w:rsidRDefault="00025920" w:rsidP="00A67CB9">
      <w:pPr>
        <w:pStyle w:val="Paragraph"/>
        <w:numPr>
          <w:ilvl w:val="0"/>
          <w:numId w:val="14"/>
        </w:numPr>
      </w:pPr>
      <w:r>
        <w:t>The scope of therapies coverage is broader than the small group plans.</w:t>
      </w:r>
    </w:p>
    <w:p w:rsidR="00431A7E" w:rsidRPr="00431A7E" w:rsidRDefault="00431A7E" w:rsidP="00431A7E">
      <w:pPr>
        <w:pStyle w:val="Paragraph"/>
        <w:rPr>
          <w:b/>
          <w:u w:val="single"/>
        </w:rPr>
      </w:pPr>
      <w:r w:rsidRPr="00431A7E">
        <w:rPr>
          <w:b/>
          <w:u w:val="single"/>
        </w:rPr>
        <w:t xml:space="preserve">Option 7: </w:t>
      </w:r>
      <w:proofErr w:type="spellStart"/>
      <w:r w:rsidRPr="00431A7E">
        <w:rPr>
          <w:b/>
          <w:u w:val="single"/>
        </w:rPr>
        <w:t>ARBenefits</w:t>
      </w:r>
      <w:proofErr w:type="spellEnd"/>
      <w:r w:rsidRPr="00431A7E">
        <w:rPr>
          <w:b/>
          <w:u w:val="single"/>
        </w:rPr>
        <w:t xml:space="preserve"> State and Public School Employee Plan</w:t>
      </w:r>
    </w:p>
    <w:p w:rsidR="002F661C" w:rsidRDefault="00431A7E" w:rsidP="00431A7E">
      <w:pPr>
        <w:pStyle w:val="Paragraph"/>
        <w:numPr>
          <w:ilvl w:val="0"/>
          <w:numId w:val="15"/>
        </w:numPr>
      </w:pPr>
      <w:r>
        <w:t>Dental benefits under this plan are significantly limited. If this plan is chosen as the state benchmark, supplemental dental benefits would need to be added to the schedule of benefits.</w:t>
      </w:r>
    </w:p>
    <w:p w:rsidR="00431A7E" w:rsidRDefault="00431A7E" w:rsidP="00431A7E">
      <w:pPr>
        <w:pStyle w:val="Paragraph"/>
        <w:numPr>
          <w:ilvl w:val="0"/>
          <w:numId w:val="15"/>
        </w:numPr>
      </w:pPr>
      <w:r>
        <w:t>This plan does not cover one state benefit – in vitro fertilization.</w:t>
      </w:r>
      <w:r w:rsidR="00025920">
        <w:t xml:space="preserve"> </w:t>
      </w:r>
    </w:p>
    <w:p w:rsidR="00025920" w:rsidRDefault="00025920" w:rsidP="00431A7E">
      <w:pPr>
        <w:pStyle w:val="Paragraph"/>
        <w:numPr>
          <w:ilvl w:val="0"/>
          <w:numId w:val="15"/>
        </w:numPr>
      </w:pPr>
      <w:r>
        <w:lastRenderedPageBreak/>
        <w:t>Autism services are covered.</w:t>
      </w:r>
    </w:p>
    <w:p w:rsidR="00431A7E" w:rsidRDefault="00921049" w:rsidP="00431A7E">
      <w:pPr>
        <w:pStyle w:val="Paragraph"/>
        <w:numPr>
          <w:ilvl w:val="0"/>
          <w:numId w:val="15"/>
        </w:numPr>
      </w:pPr>
      <w:r>
        <w:t>Among variable benefit categories, the state employee plan generally covers more than the small group plans but less than the federal plans. Acupuncture as anesthesi</w:t>
      </w:r>
      <w:r w:rsidR="00025920">
        <w:t>a is not covered</w:t>
      </w:r>
      <w:r>
        <w:t>. Bariatric surgery is only available through a pilot program.</w:t>
      </w:r>
    </w:p>
    <w:p w:rsidR="00025920" w:rsidRDefault="00025920" w:rsidP="00431A7E">
      <w:pPr>
        <w:pStyle w:val="Paragraph"/>
        <w:numPr>
          <w:ilvl w:val="0"/>
          <w:numId w:val="15"/>
        </w:numPr>
      </w:pPr>
      <w:r>
        <w:t>Coverage of therapies is broader in scope than the small group plans.</w:t>
      </w:r>
    </w:p>
    <w:p w:rsidR="001638FF" w:rsidRDefault="001638FF" w:rsidP="001638FF">
      <w:pPr>
        <w:pStyle w:val="Paragraph"/>
        <w:ind w:left="360"/>
      </w:pPr>
      <w:r>
        <w:t xml:space="preserve">The Plan Management Advisory Committee may wish to consider action on essential health benefits as two decision points. </w:t>
      </w:r>
    </w:p>
    <w:p w:rsidR="001638FF" w:rsidRPr="00360A3F" w:rsidRDefault="008D4AD1" w:rsidP="001638FF">
      <w:pPr>
        <w:pStyle w:val="Paragraph"/>
        <w:numPr>
          <w:ilvl w:val="0"/>
          <w:numId w:val="16"/>
        </w:numPr>
        <w:rPr>
          <w:b/>
          <w:i/>
        </w:rPr>
      </w:pPr>
      <w:r>
        <w:rPr>
          <w:b/>
          <w:i/>
        </w:rPr>
        <w:t>Should the Federally Facilitated</w:t>
      </w:r>
      <w:r w:rsidR="001638FF" w:rsidRPr="00360A3F">
        <w:rPr>
          <w:b/>
          <w:i/>
        </w:rPr>
        <w:t xml:space="preserve"> Exchange select a</w:t>
      </w:r>
      <w:r w:rsidR="002D0A37">
        <w:rPr>
          <w:b/>
          <w:i/>
        </w:rPr>
        <w:t xml:space="preserve"> small group plan or a federal/state</w:t>
      </w:r>
      <w:r w:rsidR="001638FF" w:rsidRPr="00360A3F">
        <w:rPr>
          <w:b/>
          <w:i/>
        </w:rPr>
        <w:t xml:space="preserve"> group plan as its benchmark?</w:t>
      </w:r>
    </w:p>
    <w:p w:rsidR="001638FF" w:rsidRDefault="001638FF" w:rsidP="001638FF">
      <w:pPr>
        <w:pStyle w:val="Paragraph"/>
        <w:numPr>
          <w:ilvl w:val="0"/>
          <w:numId w:val="17"/>
        </w:numPr>
      </w:pPr>
      <w:r>
        <w:t>Select Small Group P</w:t>
      </w:r>
      <w:r w:rsidR="00881F02">
        <w:t xml:space="preserve">lan – </w:t>
      </w:r>
      <w:r>
        <w:t>Because the smal</w:t>
      </w:r>
      <w:r w:rsidR="00360A3F">
        <w:t>l group plans have slightly fewer optional benefits than the federal or state plans, lower premium costs are likely to result, though given the modest nature of the benefit differences, these premium differences may only be in the range of 1% to 3%, based on information from CCIIO and the Department of Labor.</w:t>
      </w:r>
    </w:p>
    <w:p w:rsidR="00360A3F" w:rsidRDefault="002D0A37" w:rsidP="001638FF">
      <w:pPr>
        <w:pStyle w:val="Paragraph"/>
        <w:numPr>
          <w:ilvl w:val="0"/>
          <w:numId w:val="17"/>
        </w:numPr>
      </w:pPr>
      <w:r>
        <w:t>Select Federal Employee or State Employee</w:t>
      </w:r>
      <w:r w:rsidR="00360A3F">
        <w:t xml:space="preserve"> Group Plan – In general, a reason for selecting one of the non-small group plans as the state benchmark would be to enhance the benefit package offered inside the Exchange for select be</w:t>
      </w:r>
      <w:r w:rsidR="00025920">
        <w:t>nefits such as</w:t>
      </w:r>
      <w:r w:rsidR="00360A3F">
        <w:t xml:space="preserve"> bariatric surgery, hearing aids, chiropractic and acupuncture as anesthesia</w:t>
      </w:r>
      <w:r w:rsidR="009F46D4">
        <w:t>. Thes</w:t>
      </w:r>
      <w:r w:rsidR="00881F02">
        <w:t xml:space="preserve">e added benefits would </w:t>
      </w:r>
      <w:r w:rsidR="009F46D4">
        <w:t>increase premium costs. The federal plans also do not cover in-vitro fertilization. Because this is a state mandate, this benefit would either need to be added to the EHB or the state mandate would have to be ended.</w:t>
      </w:r>
      <w:r w:rsidR="00025920">
        <w:t xml:space="preserve"> The scope of benefits covered under the federal plan are higher than the small group plans, such that “substantially equivalent” benefits would be richer (and more expensive) than a small group benchmark.</w:t>
      </w:r>
    </w:p>
    <w:p w:rsidR="009F46D4" w:rsidRPr="009F46D4" w:rsidRDefault="00F947C6" w:rsidP="009F46D4">
      <w:pPr>
        <w:pStyle w:val="Paragraph"/>
        <w:numPr>
          <w:ilvl w:val="0"/>
          <w:numId w:val="16"/>
        </w:numPr>
        <w:rPr>
          <w:b/>
          <w:i/>
        </w:rPr>
      </w:pPr>
      <w:r>
        <w:rPr>
          <w:b/>
          <w:i/>
        </w:rPr>
        <w:t>If a small group plan is c</w:t>
      </w:r>
      <w:r w:rsidR="002D0A37">
        <w:rPr>
          <w:b/>
          <w:i/>
        </w:rPr>
        <w:t>hosen, which one should it b</w:t>
      </w:r>
      <w:r w:rsidR="009F46D4" w:rsidRPr="009F46D4">
        <w:rPr>
          <w:b/>
          <w:i/>
        </w:rPr>
        <w:t>e?</w:t>
      </w:r>
    </w:p>
    <w:p w:rsidR="009F46D4" w:rsidRDefault="009F46D4" w:rsidP="009F46D4">
      <w:pPr>
        <w:pStyle w:val="Paragraph"/>
        <w:ind w:left="720"/>
      </w:pPr>
      <w:r>
        <w:t>Once dental benefits are adjusted to comply with federal requirements, benefit differences among t</w:t>
      </w:r>
      <w:r w:rsidR="00025920">
        <w:t>hese three plans will be limited to a few key categories</w:t>
      </w:r>
      <w:r>
        <w:t>.</w:t>
      </w:r>
      <w:r w:rsidR="00025920">
        <w:t xml:space="preserve"> The BCBS PPO plan i</w:t>
      </w:r>
      <w:r w:rsidR="00881F02">
        <w:t>s not exempt from any of the state mandates</w:t>
      </w:r>
      <w:r w:rsidR="00025920">
        <w:t xml:space="preserve"> and, therefore, provides coverage for in-vitro fe</w:t>
      </w:r>
      <w:r w:rsidR="00881F02">
        <w:t>rtilization where the POS plans only provide infertility diagnostic coverage</w:t>
      </w:r>
      <w:r w:rsidR="00025920">
        <w:t xml:space="preserve">. The Health Advantage and </w:t>
      </w:r>
      <w:proofErr w:type="spellStart"/>
      <w:r w:rsidR="00025920">
        <w:t>Qual</w:t>
      </w:r>
      <w:proofErr w:type="spellEnd"/>
      <w:r w:rsidR="00025920">
        <w:t xml:space="preserve"> Choice plans do not.</w:t>
      </w:r>
      <w:r>
        <w:t xml:space="preserve"> BCBS PPO does not cover chiropractic care while the other two plans do, but BCBS PPO covers bariatric surgery, while the other two p</w:t>
      </w:r>
      <w:r w:rsidR="00986558">
        <w:t>lans do not. The BCBS PPO plan is the small group plan with the highest enrollment in the state.</w:t>
      </w:r>
      <w:r w:rsidR="00881F02">
        <w:t xml:space="preserve"> An argument for selecting the POS plan is to not extend the IVF mandate to HMO plans in the small and individual group markets.</w:t>
      </w:r>
    </w:p>
    <w:p w:rsidR="002F661C" w:rsidRPr="002D0A37" w:rsidRDefault="002D0A37" w:rsidP="00F947C6">
      <w:pPr>
        <w:pStyle w:val="Paragraph"/>
        <w:numPr>
          <w:ilvl w:val="0"/>
          <w:numId w:val="16"/>
        </w:numPr>
        <w:rPr>
          <w:b/>
          <w:i/>
        </w:rPr>
      </w:pPr>
      <w:r w:rsidRPr="002D0A37">
        <w:rPr>
          <w:b/>
          <w:i/>
        </w:rPr>
        <w:t>If a Federal/State Employee</w:t>
      </w:r>
      <w:r w:rsidR="00F947C6" w:rsidRPr="002D0A37">
        <w:rPr>
          <w:b/>
          <w:i/>
        </w:rPr>
        <w:t xml:space="preserve"> Group Plan is Chosen, which one should it be?</w:t>
      </w:r>
    </w:p>
    <w:p w:rsidR="002D0A37" w:rsidRDefault="002D0A37" w:rsidP="002D0A37">
      <w:pPr>
        <w:pStyle w:val="Paragraph"/>
        <w:ind w:left="720"/>
      </w:pPr>
      <w:r>
        <w:t>Neither the state or federal plans cover in-vitro fertilization, but th</w:t>
      </w:r>
      <w:r w:rsidR="008D4AD1">
        <w:t>e federal plans also do not cover</w:t>
      </w:r>
      <w:r>
        <w:t xml:space="preserve"> autism spectrum disorder treatment. In gene</w:t>
      </w:r>
      <w:r w:rsidR="00881F02">
        <w:t xml:space="preserve">ral, the federal plan has </w:t>
      </w:r>
      <w:r>
        <w:t>more optional benefits than the state</w:t>
      </w:r>
      <w:r w:rsidR="006F593F">
        <w:t xml:space="preserve"> employee plan, such as </w:t>
      </w:r>
      <w:r>
        <w:t>cov</w:t>
      </w:r>
      <w:r w:rsidR="006F593F">
        <w:t xml:space="preserve">erage for adult dental and </w:t>
      </w:r>
      <w:r>
        <w:t>bariatric surgery.</w:t>
      </w:r>
    </w:p>
    <w:p w:rsidR="002F661C" w:rsidRPr="00D23581" w:rsidRDefault="00986558" w:rsidP="00940EC3">
      <w:pPr>
        <w:pStyle w:val="Paragraph"/>
        <w:rPr>
          <w:b/>
          <w:u w:val="single"/>
        </w:rPr>
      </w:pPr>
      <w:r w:rsidRPr="00D23581">
        <w:rPr>
          <w:b/>
          <w:u w:val="single"/>
        </w:rPr>
        <w:lastRenderedPageBreak/>
        <w:t>Supplementing the Selected Benchmark</w:t>
      </w:r>
    </w:p>
    <w:p w:rsidR="00986558" w:rsidRDefault="00986558" w:rsidP="00940EC3">
      <w:pPr>
        <w:pStyle w:val="Paragraph"/>
      </w:pPr>
      <w:r>
        <w:t>At its recent “gate review” staff of the Arkansas Federally Facilitated Health Benefits Exchange asked staff of CCIIO to clarify the process for benefits supplementation once the selected benchmark is selected. CCIIO has requested that Arkansas identify its preferred process, though informal federal guidance has suggested that Arkansas would need to look to benefits included in other eligible benchmarks and could not supplement above the federal minimum standards without accepting state liability for the cost of benefits in excess of the federal minimum.</w:t>
      </w:r>
    </w:p>
    <w:p w:rsidR="00986558" w:rsidRDefault="00986558" w:rsidP="00940EC3">
      <w:pPr>
        <w:pStyle w:val="Paragraph"/>
      </w:pPr>
      <w:r>
        <w:t xml:space="preserve">CCIIO indicated that the dental or vision benefit schedule included in stand-alone plans were not eligible to serve as a supplemental benchmark, though stand-alone plans must be allowed to be offered in the Exchange. </w:t>
      </w:r>
    </w:p>
    <w:p w:rsidR="00986558" w:rsidRDefault="00986558" w:rsidP="00940EC3">
      <w:pPr>
        <w:pStyle w:val="Paragraph"/>
      </w:pPr>
      <w:r>
        <w:t>CCIIO also generally expressed doubt that Arkansas could get too granular in its supplementation process, indicating that “essential health benefits” define broad categories of coverage that allow plans to innovate with “substantially equivalent” approaches.</w:t>
      </w:r>
    </w:p>
    <w:p w:rsidR="00B74C88" w:rsidRDefault="00986558" w:rsidP="00940EC3">
      <w:pPr>
        <w:pStyle w:val="Paragraph"/>
      </w:pPr>
      <w:r>
        <w:t xml:space="preserve">On May 11, the Arkansas Plan Management Advisory Committee met. A motion was made at the meeting to adopt the Blue Cross Blue Shield PPO small group plan as the state’s essential health benefits benchmark. </w:t>
      </w:r>
      <w:r w:rsidR="00B74C88">
        <w:t xml:space="preserve">On an initial voice vote, the motion was supported by 15 attending advisory committee members and opposed by 2 attending committee members. In a dissenting opinion, those opposing indicated that the Advisory Committee should not enact a benefit standard that contradicts legislative action. Specifically, the opponents do not believe the committee should require HMO plans to </w:t>
      </w:r>
      <w:r w:rsidR="004335A1">
        <w:t>cover in-vitro fertilization when the Legislature specifically exempted HMOs from this requirement.</w:t>
      </w:r>
    </w:p>
    <w:p w:rsidR="00986558" w:rsidRDefault="00B74C88" w:rsidP="00940EC3">
      <w:pPr>
        <w:pStyle w:val="Paragraph"/>
      </w:pPr>
      <w:r>
        <w:t>The following week, the</w:t>
      </w:r>
      <w:r w:rsidR="00D23581">
        <w:t xml:space="preserve"> motion carried on an electronic vote of 16 in favor and 11 opposed.</w:t>
      </w:r>
    </w:p>
    <w:p w:rsidR="004335A1" w:rsidRDefault="004335A1" w:rsidP="00940EC3">
      <w:pPr>
        <w:pStyle w:val="Paragraph"/>
      </w:pPr>
      <w:r>
        <w:t>On May 25, Arkansas’ Federally Facilitated Partnership Exchange Steering Committee moved to recommend to the Insurance Commissioner that he adopt any one of the three small group plans as the essential health benefits benchmark. This motion passed with one opposing vote.</w:t>
      </w:r>
    </w:p>
    <w:p w:rsidR="004335A1" w:rsidRDefault="004335A1" w:rsidP="00940EC3">
      <w:pPr>
        <w:pStyle w:val="Paragraph"/>
      </w:pPr>
      <w:r>
        <w:t xml:space="preserve">As of May 29, the issue now goes before the Arkansas Insurance Commissioner for final consideration. </w:t>
      </w:r>
    </w:p>
    <w:p w:rsidR="006F593F" w:rsidRDefault="006F593F" w:rsidP="00940EC3">
      <w:pPr>
        <w:pStyle w:val="Paragraph"/>
      </w:pPr>
    </w:p>
    <w:p w:rsidR="003A21AF" w:rsidRDefault="003A21AF" w:rsidP="00940EC3">
      <w:pPr>
        <w:pStyle w:val="Paragraph"/>
      </w:pPr>
    </w:p>
    <w:sectPr w:rsidR="003A21AF" w:rsidSect="007E3F84">
      <w:footerReference w:type="default" r:id="rId10"/>
      <w:pgSz w:w="12240" w:h="15840"/>
      <w:pgMar w:top="1440" w:right="1440" w:bottom="1440" w:left="1440"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5BA" w:rsidRDefault="00DC25BA" w:rsidP="00675BFA">
      <w:pPr>
        <w:spacing w:after="0" w:line="240" w:lineRule="auto"/>
      </w:pPr>
      <w:r>
        <w:separator/>
      </w:r>
    </w:p>
    <w:p w:rsidR="00DC25BA" w:rsidRDefault="00DC25BA"/>
  </w:endnote>
  <w:endnote w:type="continuationSeparator" w:id="0">
    <w:p w:rsidR="00DC25BA" w:rsidRDefault="00DC25BA" w:rsidP="00675BFA">
      <w:pPr>
        <w:spacing w:after="0" w:line="240" w:lineRule="auto"/>
      </w:pPr>
      <w:r>
        <w:continuationSeparator/>
      </w:r>
    </w:p>
    <w:p w:rsidR="00DC25BA" w:rsidRDefault="00DC25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28" w:rsidRDefault="00FC1828" w:rsidP="00AB104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28" w:rsidRPr="008D5F67" w:rsidRDefault="00FC1828" w:rsidP="00B212A0">
    <w:pPr>
      <w:pBdr>
        <w:top w:val="single" w:sz="12" w:space="1" w:color="auto"/>
      </w:pBdr>
      <w:tabs>
        <w:tab w:val="center" w:pos="4675"/>
        <w:tab w:val="right" w:pos="9350"/>
      </w:tabs>
      <w:rPr>
        <w:rFonts w:ascii="Times New Roman" w:hAnsi="Times New Roman"/>
        <w:b/>
        <w:i/>
        <w:sz w:val="24"/>
        <w:szCs w:val="24"/>
      </w:rPr>
    </w:pPr>
    <w:r>
      <w:rPr>
        <w:rFonts w:ascii="Times New Roman" w:hAnsi="Times New Roman"/>
        <w:b/>
        <w:i/>
        <w:sz w:val="24"/>
        <w:szCs w:val="24"/>
      </w:rPr>
      <w:tab/>
    </w:r>
    <w:r w:rsidRPr="008D5F67">
      <w:rPr>
        <w:rFonts w:ascii="Times New Roman" w:hAnsi="Times New Roman"/>
        <w:b/>
        <w:i/>
        <w:sz w:val="24"/>
        <w:szCs w:val="24"/>
      </w:rPr>
      <w:tab/>
      <w:t xml:space="preserve">Page </w:t>
    </w:r>
    <w:r w:rsidR="00222281" w:rsidRPr="008D5F67">
      <w:rPr>
        <w:rFonts w:ascii="Times New Roman" w:hAnsi="Times New Roman"/>
        <w:b/>
        <w:i/>
        <w:sz w:val="24"/>
        <w:szCs w:val="24"/>
      </w:rPr>
      <w:fldChar w:fldCharType="begin"/>
    </w:r>
    <w:r w:rsidRPr="008D5F67">
      <w:rPr>
        <w:rFonts w:ascii="Times New Roman" w:hAnsi="Times New Roman"/>
        <w:b/>
        <w:i/>
        <w:sz w:val="24"/>
        <w:szCs w:val="24"/>
      </w:rPr>
      <w:instrText xml:space="preserve"> PAGE </w:instrText>
    </w:r>
    <w:r w:rsidR="00222281" w:rsidRPr="008D5F67">
      <w:rPr>
        <w:rFonts w:ascii="Times New Roman" w:hAnsi="Times New Roman"/>
        <w:b/>
        <w:i/>
        <w:sz w:val="24"/>
        <w:szCs w:val="24"/>
      </w:rPr>
      <w:fldChar w:fldCharType="separate"/>
    </w:r>
    <w:r w:rsidR="00F9728A">
      <w:rPr>
        <w:rFonts w:ascii="Times New Roman" w:hAnsi="Times New Roman"/>
        <w:b/>
        <w:i/>
        <w:noProof/>
        <w:sz w:val="24"/>
        <w:szCs w:val="24"/>
      </w:rPr>
      <w:t>17</w:t>
    </w:r>
    <w:r w:rsidR="00222281" w:rsidRPr="008D5F67">
      <w:rPr>
        <w:rFonts w:ascii="Times New Roman" w:hAnsi="Times New Roman"/>
        <w:b/>
        <w:i/>
        <w:sz w:val="24"/>
        <w:szCs w:val="24"/>
      </w:rPr>
      <w:fldChar w:fldCharType="end"/>
    </w:r>
  </w:p>
  <w:p w:rsidR="00FC1828" w:rsidRPr="00B212A0" w:rsidRDefault="00FC1828" w:rsidP="00B212A0">
    <w:pPr>
      <w:pStyle w:val="Footer"/>
      <w:rPr>
        <w:rFonts w:ascii="Times New Roman" w:hAnsi="Times New Roman"/>
      </w:rPr>
    </w:pPr>
  </w:p>
  <w:p w:rsidR="00FC1828" w:rsidRDefault="00FC18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5BA" w:rsidRDefault="00DC25BA" w:rsidP="00675BFA">
      <w:pPr>
        <w:spacing w:after="0" w:line="240" w:lineRule="auto"/>
      </w:pPr>
      <w:r>
        <w:separator/>
      </w:r>
    </w:p>
    <w:p w:rsidR="00DC25BA" w:rsidRDefault="00DC25BA"/>
  </w:footnote>
  <w:footnote w:type="continuationSeparator" w:id="0">
    <w:p w:rsidR="00DC25BA" w:rsidRDefault="00DC25BA" w:rsidP="00675BFA">
      <w:pPr>
        <w:spacing w:after="0" w:line="240" w:lineRule="auto"/>
      </w:pPr>
      <w:r>
        <w:continuationSeparator/>
      </w:r>
    </w:p>
    <w:p w:rsidR="00DC25BA" w:rsidRDefault="00DC25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28" w:rsidRDefault="00FC1828" w:rsidP="00675BFA">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75A"/>
    <w:multiLevelType w:val="hybridMultilevel"/>
    <w:tmpl w:val="0FF80716"/>
    <w:lvl w:ilvl="0" w:tplc="59FC7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C90EF0"/>
    <w:multiLevelType w:val="hybridMultilevel"/>
    <w:tmpl w:val="03FE76CE"/>
    <w:lvl w:ilvl="0" w:tplc="9F8E8E22">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1F86AA2C">
      <w:start w:val="1"/>
      <w:numFmt w:val="decimal"/>
      <w:pStyle w:val="Style2"/>
      <w:lvlText w:val="%3."/>
      <w:lvlJc w:val="left"/>
      <w:pPr>
        <w:tabs>
          <w:tab w:val="num" w:pos="810"/>
        </w:tabs>
        <w:ind w:left="810" w:hanging="360"/>
      </w:pPr>
      <w:rPr>
        <w:rFonts w:cs="Times New Roman" w:hint="default"/>
        <w:b w:val="0"/>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2F70559"/>
    <w:multiLevelType w:val="hybridMultilevel"/>
    <w:tmpl w:val="E0F6C584"/>
    <w:lvl w:ilvl="0" w:tplc="F4642770">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03BE9"/>
    <w:multiLevelType w:val="multilevel"/>
    <w:tmpl w:val="20FCEF7A"/>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900" w:hanging="720"/>
      </w:pPr>
      <w:rPr>
        <w:rFonts w:cs="Times New Roman" w:hint="default"/>
      </w:rPr>
    </w:lvl>
    <w:lvl w:ilvl="3">
      <w:start w:val="1"/>
      <w:numFmt w:val="decimal"/>
      <w:pStyle w:val="Heading4"/>
      <w:lvlText w:val="%1.%2.%3.%4"/>
      <w:lvlJc w:val="left"/>
      <w:pPr>
        <w:ind w:left="284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
    <w:nsid w:val="3C055C5F"/>
    <w:multiLevelType w:val="hybridMultilevel"/>
    <w:tmpl w:val="E26AC0A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435D02B4"/>
    <w:multiLevelType w:val="hybridMultilevel"/>
    <w:tmpl w:val="250806A2"/>
    <w:lvl w:ilvl="0" w:tplc="C212A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76BEC"/>
    <w:multiLevelType w:val="hybridMultilevel"/>
    <w:tmpl w:val="CCA68204"/>
    <w:lvl w:ilvl="0" w:tplc="5AAE3538">
      <w:start w:val="1"/>
      <w:numFmt w:val="bullet"/>
      <w:pStyle w:val="Bullet1"/>
      <w:lvlText w:val=""/>
      <w:lvlJc w:val="left"/>
      <w:pPr>
        <w:ind w:left="720" w:hanging="360"/>
      </w:pPr>
      <w:rPr>
        <w:rFonts w:ascii="Symbol" w:hAnsi="Symbol" w:hint="default"/>
      </w:rPr>
    </w:lvl>
    <w:lvl w:ilvl="1" w:tplc="70EC7556">
      <w:start w:val="1"/>
      <w:numFmt w:val="bullet"/>
      <w:pStyle w:val="Bullet2"/>
      <w:lvlText w:val="o"/>
      <w:lvlJc w:val="left"/>
      <w:pPr>
        <w:ind w:left="1440" w:hanging="360"/>
      </w:pPr>
      <w:rPr>
        <w:rFonts w:ascii="Courier New" w:hAnsi="Courier New" w:cs="Courier New" w:hint="default"/>
      </w:rPr>
    </w:lvl>
    <w:lvl w:ilvl="2" w:tplc="43849F5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A0B26"/>
    <w:multiLevelType w:val="hybridMultilevel"/>
    <w:tmpl w:val="C43E3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7516B"/>
    <w:multiLevelType w:val="hybridMultilevel"/>
    <w:tmpl w:val="85A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604B6"/>
    <w:multiLevelType w:val="multilevel"/>
    <w:tmpl w:val="2A2AEAD0"/>
    <w:lvl w:ilvl="0">
      <w:start w:val="1"/>
      <w:numFmt w:val="decimal"/>
      <w:pStyle w:val="ListOutline"/>
      <w:lvlText w:val="%1."/>
      <w:lvlJc w:val="left"/>
      <w:pPr>
        <w:tabs>
          <w:tab w:val="num" w:pos="720"/>
        </w:tabs>
        <w:ind w:left="720" w:hanging="360"/>
      </w:pPr>
      <w:rPr>
        <w:rFonts w:ascii="Calibri" w:hAnsi="Calibri" w:cs="Times New Roman" w:hint="default"/>
        <w:b w:val="0"/>
        <w:i w:val="0"/>
        <w:sz w:val="24"/>
      </w:rPr>
    </w:lvl>
    <w:lvl w:ilvl="1">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start w:val="1"/>
      <w:numFmt w:val="lowerRoman"/>
      <w:lvlText w:val="%3)"/>
      <w:lvlJc w:val="left"/>
      <w:pPr>
        <w:tabs>
          <w:tab w:val="num" w:pos="1800"/>
        </w:tabs>
        <w:ind w:left="1584" w:hanging="504"/>
      </w:pPr>
      <w:rPr>
        <w:rFonts w:ascii="Times New Roman" w:hAnsi="Times New Roman" w:cs="Times New Roman" w:hint="default"/>
        <w:b w:val="0"/>
        <w:i w:val="0"/>
        <w:sz w:val="24"/>
      </w:rPr>
    </w:lvl>
    <w:lvl w:ilvl="3">
      <w:start w:val="1"/>
      <w:numFmt w:val="decimal"/>
      <w:lvlText w:val="(%4)"/>
      <w:lvlJc w:val="left"/>
      <w:pPr>
        <w:tabs>
          <w:tab w:val="num" w:pos="1944"/>
        </w:tabs>
        <w:ind w:left="1944" w:hanging="360"/>
      </w:pPr>
      <w:rPr>
        <w:rFonts w:ascii="Times New Roman" w:hAnsi="Times New Roman" w:cs="Times New Roman" w:hint="default"/>
        <w:b w:val="0"/>
        <w:i w:val="0"/>
        <w:sz w:val="24"/>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5521287C"/>
    <w:multiLevelType w:val="hybridMultilevel"/>
    <w:tmpl w:val="D9EA64C2"/>
    <w:lvl w:ilvl="0" w:tplc="FAE27CA8">
      <w:start w:val="1"/>
      <w:numFmt w:val="upperLetter"/>
      <w:pStyle w:val="Appendix1"/>
      <w:lvlText w:val="Appendix %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5FB38CB"/>
    <w:multiLevelType w:val="hybridMultilevel"/>
    <w:tmpl w:val="00F2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E0355B"/>
    <w:multiLevelType w:val="hybridMultilevel"/>
    <w:tmpl w:val="889664E8"/>
    <w:lvl w:ilvl="0" w:tplc="9ECED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3"/>
  </w:num>
  <w:num w:numId="4">
    <w:abstractNumId w:val="1"/>
  </w:num>
  <w:num w:numId="5">
    <w:abstractNumId w:val="6"/>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2"/>
  </w:num>
  <w:num w:numId="13">
    <w:abstractNumId w:val="4"/>
  </w:num>
  <w:num w:numId="14">
    <w:abstractNumId w:val="8"/>
  </w:num>
  <w:num w:numId="15">
    <w:abstractNumId w:val="11"/>
  </w:num>
  <w:num w:numId="16">
    <w:abstractNumId w:val="7"/>
  </w:num>
  <w:num w:numId="17">
    <w:abstractNumId w:val="0"/>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7D139D"/>
    <w:rsid w:val="00000A52"/>
    <w:rsid w:val="0000271E"/>
    <w:rsid w:val="00004521"/>
    <w:rsid w:val="000054BC"/>
    <w:rsid w:val="00005F8A"/>
    <w:rsid w:val="0000607F"/>
    <w:rsid w:val="00007969"/>
    <w:rsid w:val="00007B37"/>
    <w:rsid w:val="00010104"/>
    <w:rsid w:val="0001191F"/>
    <w:rsid w:val="00011D54"/>
    <w:rsid w:val="0001301C"/>
    <w:rsid w:val="000140F1"/>
    <w:rsid w:val="00015DCB"/>
    <w:rsid w:val="00021ED2"/>
    <w:rsid w:val="00023286"/>
    <w:rsid w:val="00024132"/>
    <w:rsid w:val="00025920"/>
    <w:rsid w:val="000261B4"/>
    <w:rsid w:val="00026C25"/>
    <w:rsid w:val="00027701"/>
    <w:rsid w:val="00027BD4"/>
    <w:rsid w:val="00031B3A"/>
    <w:rsid w:val="00033437"/>
    <w:rsid w:val="00034A3A"/>
    <w:rsid w:val="00036315"/>
    <w:rsid w:val="00040EA1"/>
    <w:rsid w:val="00042627"/>
    <w:rsid w:val="000428A5"/>
    <w:rsid w:val="0004388F"/>
    <w:rsid w:val="000456EE"/>
    <w:rsid w:val="000531C9"/>
    <w:rsid w:val="0005418D"/>
    <w:rsid w:val="000546FD"/>
    <w:rsid w:val="000547F4"/>
    <w:rsid w:val="00060943"/>
    <w:rsid w:val="00061586"/>
    <w:rsid w:val="00063202"/>
    <w:rsid w:val="00063F4E"/>
    <w:rsid w:val="00064371"/>
    <w:rsid w:val="00064A95"/>
    <w:rsid w:val="000669F6"/>
    <w:rsid w:val="00070BCA"/>
    <w:rsid w:val="000720DE"/>
    <w:rsid w:val="00072BB3"/>
    <w:rsid w:val="000743E1"/>
    <w:rsid w:val="00075E50"/>
    <w:rsid w:val="00076CDB"/>
    <w:rsid w:val="0008150A"/>
    <w:rsid w:val="000819CF"/>
    <w:rsid w:val="00081B31"/>
    <w:rsid w:val="00082593"/>
    <w:rsid w:val="000827D5"/>
    <w:rsid w:val="000836B9"/>
    <w:rsid w:val="00090516"/>
    <w:rsid w:val="000907BF"/>
    <w:rsid w:val="00090E84"/>
    <w:rsid w:val="00092B45"/>
    <w:rsid w:val="00092D55"/>
    <w:rsid w:val="0009507A"/>
    <w:rsid w:val="00095402"/>
    <w:rsid w:val="000A0D6B"/>
    <w:rsid w:val="000A13A6"/>
    <w:rsid w:val="000A4DE6"/>
    <w:rsid w:val="000A6C69"/>
    <w:rsid w:val="000B310C"/>
    <w:rsid w:val="000C09F4"/>
    <w:rsid w:val="000C0FF1"/>
    <w:rsid w:val="000C43CC"/>
    <w:rsid w:val="000C4C68"/>
    <w:rsid w:val="000C60A1"/>
    <w:rsid w:val="000C67B0"/>
    <w:rsid w:val="000D0ADD"/>
    <w:rsid w:val="000D2949"/>
    <w:rsid w:val="000D2D5A"/>
    <w:rsid w:val="000D3609"/>
    <w:rsid w:val="000D4974"/>
    <w:rsid w:val="000D4AB7"/>
    <w:rsid w:val="000D6FCA"/>
    <w:rsid w:val="000D7B26"/>
    <w:rsid w:val="000E0EED"/>
    <w:rsid w:val="000E1927"/>
    <w:rsid w:val="000E3699"/>
    <w:rsid w:val="000E3A99"/>
    <w:rsid w:val="000E3E35"/>
    <w:rsid w:val="000E45EC"/>
    <w:rsid w:val="000E47B7"/>
    <w:rsid w:val="000E634B"/>
    <w:rsid w:val="000E6E91"/>
    <w:rsid w:val="000F2C21"/>
    <w:rsid w:val="000F707A"/>
    <w:rsid w:val="000F70F8"/>
    <w:rsid w:val="000F7BF8"/>
    <w:rsid w:val="00100D8E"/>
    <w:rsid w:val="001012F4"/>
    <w:rsid w:val="0010621C"/>
    <w:rsid w:val="00106240"/>
    <w:rsid w:val="001074F6"/>
    <w:rsid w:val="001102A3"/>
    <w:rsid w:val="001105DC"/>
    <w:rsid w:val="00112830"/>
    <w:rsid w:val="001128B2"/>
    <w:rsid w:val="00113859"/>
    <w:rsid w:val="001140AE"/>
    <w:rsid w:val="00115201"/>
    <w:rsid w:val="001155C7"/>
    <w:rsid w:val="00120323"/>
    <w:rsid w:val="00121B04"/>
    <w:rsid w:val="00123264"/>
    <w:rsid w:val="00123EB4"/>
    <w:rsid w:val="00127331"/>
    <w:rsid w:val="00130962"/>
    <w:rsid w:val="001329AA"/>
    <w:rsid w:val="00132D5B"/>
    <w:rsid w:val="00134F64"/>
    <w:rsid w:val="001412C3"/>
    <w:rsid w:val="0014132D"/>
    <w:rsid w:val="0014149A"/>
    <w:rsid w:val="00142164"/>
    <w:rsid w:val="0014256B"/>
    <w:rsid w:val="001445A7"/>
    <w:rsid w:val="001449BF"/>
    <w:rsid w:val="001466D3"/>
    <w:rsid w:val="00150152"/>
    <w:rsid w:val="00150FEE"/>
    <w:rsid w:val="001514FD"/>
    <w:rsid w:val="00151856"/>
    <w:rsid w:val="001557D7"/>
    <w:rsid w:val="001559C7"/>
    <w:rsid w:val="00155E04"/>
    <w:rsid w:val="00155E1F"/>
    <w:rsid w:val="00156559"/>
    <w:rsid w:val="00156785"/>
    <w:rsid w:val="00157C3B"/>
    <w:rsid w:val="001622E1"/>
    <w:rsid w:val="001638FF"/>
    <w:rsid w:val="00163F16"/>
    <w:rsid w:val="001651AF"/>
    <w:rsid w:val="001675CC"/>
    <w:rsid w:val="0017038C"/>
    <w:rsid w:val="001719F7"/>
    <w:rsid w:val="00171ABA"/>
    <w:rsid w:val="00173079"/>
    <w:rsid w:val="00175600"/>
    <w:rsid w:val="00175D9C"/>
    <w:rsid w:val="00181778"/>
    <w:rsid w:val="00181E3B"/>
    <w:rsid w:val="001829D8"/>
    <w:rsid w:val="00184A2F"/>
    <w:rsid w:val="00185155"/>
    <w:rsid w:val="00185196"/>
    <w:rsid w:val="00186B00"/>
    <w:rsid w:val="001872C2"/>
    <w:rsid w:val="00190BA6"/>
    <w:rsid w:val="00190E2B"/>
    <w:rsid w:val="001916B0"/>
    <w:rsid w:val="0019244A"/>
    <w:rsid w:val="001936B2"/>
    <w:rsid w:val="00193BA1"/>
    <w:rsid w:val="001949EF"/>
    <w:rsid w:val="00195069"/>
    <w:rsid w:val="00196C02"/>
    <w:rsid w:val="0019707D"/>
    <w:rsid w:val="001A0522"/>
    <w:rsid w:val="001A094B"/>
    <w:rsid w:val="001A0A8D"/>
    <w:rsid w:val="001A1DED"/>
    <w:rsid w:val="001A41C7"/>
    <w:rsid w:val="001A7503"/>
    <w:rsid w:val="001A76EC"/>
    <w:rsid w:val="001B1659"/>
    <w:rsid w:val="001B2E64"/>
    <w:rsid w:val="001B3612"/>
    <w:rsid w:val="001B3CFB"/>
    <w:rsid w:val="001B3FCA"/>
    <w:rsid w:val="001B48D7"/>
    <w:rsid w:val="001B50B9"/>
    <w:rsid w:val="001B5378"/>
    <w:rsid w:val="001B606F"/>
    <w:rsid w:val="001B79FA"/>
    <w:rsid w:val="001C051D"/>
    <w:rsid w:val="001C144A"/>
    <w:rsid w:val="001C54D7"/>
    <w:rsid w:val="001C6089"/>
    <w:rsid w:val="001C724D"/>
    <w:rsid w:val="001C7516"/>
    <w:rsid w:val="001D0FC9"/>
    <w:rsid w:val="001D19EE"/>
    <w:rsid w:val="001D383D"/>
    <w:rsid w:val="001D51D3"/>
    <w:rsid w:val="001D79EE"/>
    <w:rsid w:val="001E04CC"/>
    <w:rsid w:val="001E0B04"/>
    <w:rsid w:val="001E0F65"/>
    <w:rsid w:val="001E1D4A"/>
    <w:rsid w:val="001E3D92"/>
    <w:rsid w:val="001E4084"/>
    <w:rsid w:val="001E474F"/>
    <w:rsid w:val="001E5B6C"/>
    <w:rsid w:val="001E5DBE"/>
    <w:rsid w:val="001E5DDE"/>
    <w:rsid w:val="001E6483"/>
    <w:rsid w:val="001E76D3"/>
    <w:rsid w:val="001F0120"/>
    <w:rsid w:val="001F1D8E"/>
    <w:rsid w:val="001F3ABB"/>
    <w:rsid w:val="001F5CF5"/>
    <w:rsid w:val="001F5D4E"/>
    <w:rsid w:val="001F6096"/>
    <w:rsid w:val="001F66AA"/>
    <w:rsid w:val="001F6881"/>
    <w:rsid w:val="001F73A0"/>
    <w:rsid w:val="001F796D"/>
    <w:rsid w:val="001F7CDC"/>
    <w:rsid w:val="00200EBA"/>
    <w:rsid w:val="0020386A"/>
    <w:rsid w:val="00203A2F"/>
    <w:rsid w:val="00204A07"/>
    <w:rsid w:val="00204B72"/>
    <w:rsid w:val="00207427"/>
    <w:rsid w:val="00211463"/>
    <w:rsid w:val="00212A3E"/>
    <w:rsid w:val="002154A5"/>
    <w:rsid w:val="00216D42"/>
    <w:rsid w:val="00216D8B"/>
    <w:rsid w:val="002178BA"/>
    <w:rsid w:val="00217A6E"/>
    <w:rsid w:val="002210A0"/>
    <w:rsid w:val="00222281"/>
    <w:rsid w:val="00222A5B"/>
    <w:rsid w:val="00222A7E"/>
    <w:rsid w:val="00222B27"/>
    <w:rsid w:val="002253C9"/>
    <w:rsid w:val="00227A2A"/>
    <w:rsid w:val="00231687"/>
    <w:rsid w:val="00233470"/>
    <w:rsid w:val="00233687"/>
    <w:rsid w:val="002353DE"/>
    <w:rsid w:val="00235639"/>
    <w:rsid w:val="0023637F"/>
    <w:rsid w:val="002404EC"/>
    <w:rsid w:val="00240C37"/>
    <w:rsid w:val="00243355"/>
    <w:rsid w:val="00243D35"/>
    <w:rsid w:val="00245333"/>
    <w:rsid w:val="002456CB"/>
    <w:rsid w:val="00246F67"/>
    <w:rsid w:val="00250780"/>
    <w:rsid w:val="002512E7"/>
    <w:rsid w:val="00255B18"/>
    <w:rsid w:val="00255B7C"/>
    <w:rsid w:val="00256724"/>
    <w:rsid w:val="00257A84"/>
    <w:rsid w:val="00257BC2"/>
    <w:rsid w:val="00262DAE"/>
    <w:rsid w:val="00263381"/>
    <w:rsid w:val="00264E8A"/>
    <w:rsid w:val="00272EB1"/>
    <w:rsid w:val="00273FEA"/>
    <w:rsid w:val="00274416"/>
    <w:rsid w:val="00276B89"/>
    <w:rsid w:val="00281071"/>
    <w:rsid w:val="00281FB3"/>
    <w:rsid w:val="0028217B"/>
    <w:rsid w:val="0028260E"/>
    <w:rsid w:val="002854F1"/>
    <w:rsid w:val="00287BD5"/>
    <w:rsid w:val="00291530"/>
    <w:rsid w:val="0029159C"/>
    <w:rsid w:val="002927DC"/>
    <w:rsid w:val="0029433E"/>
    <w:rsid w:val="002943C8"/>
    <w:rsid w:val="00294A4D"/>
    <w:rsid w:val="002956A2"/>
    <w:rsid w:val="0029659A"/>
    <w:rsid w:val="00296D9A"/>
    <w:rsid w:val="00297EDA"/>
    <w:rsid w:val="002A2888"/>
    <w:rsid w:val="002A2A10"/>
    <w:rsid w:val="002A50A2"/>
    <w:rsid w:val="002A6671"/>
    <w:rsid w:val="002B431E"/>
    <w:rsid w:val="002B48B5"/>
    <w:rsid w:val="002B66AA"/>
    <w:rsid w:val="002C0FCC"/>
    <w:rsid w:val="002C1C63"/>
    <w:rsid w:val="002C22F6"/>
    <w:rsid w:val="002C2A76"/>
    <w:rsid w:val="002C3216"/>
    <w:rsid w:val="002C3ECB"/>
    <w:rsid w:val="002C3FA8"/>
    <w:rsid w:val="002C5989"/>
    <w:rsid w:val="002C5ADE"/>
    <w:rsid w:val="002C5DD4"/>
    <w:rsid w:val="002C5E3C"/>
    <w:rsid w:val="002C6651"/>
    <w:rsid w:val="002C7DD7"/>
    <w:rsid w:val="002D0A37"/>
    <w:rsid w:val="002D0BA9"/>
    <w:rsid w:val="002D1400"/>
    <w:rsid w:val="002D1841"/>
    <w:rsid w:val="002D49F5"/>
    <w:rsid w:val="002D4A3F"/>
    <w:rsid w:val="002D5417"/>
    <w:rsid w:val="002D5982"/>
    <w:rsid w:val="002E016D"/>
    <w:rsid w:val="002E16B6"/>
    <w:rsid w:val="002E29F6"/>
    <w:rsid w:val="002E36D3"/>
    <w:rsid w:val="002E4BB6"/>
    <w:rsid w:val="002E4C0B"/>
    <w:rsid w:val="002E52A5"/>
    <w:rsid w:val="002E6A74"/>
    <w:rsid w:val="002F12A5"/>
    <w:rsid w:val="002F411C"/>
    <w:rsid w:val="002F661C"/>
    <w:rsid w:val="002F797C"/>
    <w:rsid w:val="00304795"/>
    <w:rsid w:val="003050C0"/>
    <w:rsid w:val="00313587"/>
    <w:rsid w:val="00314940"/>
    <w:rsid w:val="00315146"/>
    <w:rsid w:val="003152A5"/>
    <w:rsid w:val="003152B0"/>
    <w:rsid w:val="00315553"/>
    <w:rsid w:val="00315EA0"/>
    <w:rsid w:val="0032017B"/>
    <w:rsid w:val="00320354"/>
    <w:rsid w:val="00320923"/>
    <w:rsid w:val="0032336F"/>
    <w:rsid w:val="003241C9"/>
    <w:rsid w:val="00324384"/>
    <w:rsid w:val="00327EB4"/>
    <w:rsid w:val="00330362"/>
    <w:rsid w:val="00330F5C"/>
    <w:rsid w:val="0033387A"/>
    <w:rsid w:val="00335A83"/>
    <w:rsid w:val="003404C5"/>
    <w:rsid w:val="00340630"/>
    <w:rsid w:val="00340B12"/>
    <w:rsid w:val="00340FD3"/>
    <w:rsid w:val="00342167"/>
    <w:rsid w:val="0034500B"/>
    <w:rsid w:val="00345B7B"/>
    <w:rsid w:val="003504B0"/>
    <w:rsid w:val="003509DC"/>
    <w:rsid w:val="00353210"/>
    <w:rsid w:val="003538C6"/>
    <w:rsid w:val="0035482B"/>
    <w:rsid w:val="00354A43"/>
    <w:rsid w:val="00360A3F"/>
    <w:rsid w:val="00362003"/>
    <w:rsid w:val="00363C23"/>
    <w:rsid w:val="003640F8"/>
    <w:rsid w:val="00367753"/>
    <w:rsid w:val="0037000C"/>
    <w:rsid w:val="00371712"/>
    <w:rsid w:val="0037175B"/>
    <w:rsid w:val="003724BF"/>
    <w:rsid w:val="00372679"/>
    <w:rsid w:val="00372853"/>
    <w:rsid w:val="0037447E"/>
    <w:rsid w:val="00375BC3"/>
    <w:rsid w:val="00375D56"/>
    <w:rsid w:val="0038008A"/>
    <w:rsid w:val="0038058A"/>
    <w:rsid w:val="003825FB"/>
    <w:rsid w:val="00382873"/>
    <w:rsid w:val="00384929"/>
    <w:rsid w:val="003851FC"/>
    <w:rsid w:val="00385450"/>
    <w:rsid w:val="003858A0"/>
    <w:rsid w:val="00386384"/>
    <w:rsid w:val="00386AC9"/>
    <w:rsid w:val="00391E33"/>
    <w:rsid w:val="003921C5"/>
    <w:rsid w:val="003929D5"/>
    <w:rsid w:val="00394F5C"/>
    <w:rsid w:val="0039674F"/>
    <w:rsid w:val="00396A4E"/>
    <w:rsid w:val="003976C2"/>
    <w:rsid w:val="003A21AF"/>
    <w:rsid w:val="003A44DD"/>
    <w:rsid w:val="003A5B97"/>
    <w:rsid w:val="003A60E4"/>
    <w:rsid w:val="003A6ACD"/>
    <w:rsid w:val="003A6CEC"/>
    <w:rsid w:val="003A71ED"/>
    <w:rsid w:val="003A7248"/>
    <w:rsid w:val="003B0137"/>
    <w:rsid w:val="003B0FDF"/>
    <w:rsid w:val="003B1E5A"/>
    <w:rsid w:val="003B4969"/>
    <w:rsid w:val="003B7926"/>
    <w:rsid w:val="003C22A6"/>
    <w:rsid w:val="003C2D14"/>
    <w:rsid w:val="003C32CC"/>
    <w:rsid w:val="003C3C60"/>
    <w:rsid w:val="003C4BEC"/>
    <w:rsid w:val="003C5D5D"/>
    <w:rsid w:val="003C63A0"/>
    <w:rsid w:val="003C6D77"/>
    <w:rsid w:val="003C750B"/>
    <w:rsid w:val="003C7DDE"/>
    <w:rsid w:val="003D11E7"/>
    <w:rsid w:val="003D35C1"/>
    <w:rsid w:val="003D414D"/>
    <w:rsid w:val="003D4AD9"/>
    <w:rsid w:val="003D580D"/>
    <w:rsid w:val="003D6FFE"/>
    <w:rsid w:val="003E064D"/>
    <w:rsid w:val="003E080A"/>
    <w:rsid w:val="003E154D"/>
    <w:rsid w:val="003E1A5F"/>
    <w:rsid w:val="003E3E31"/>
    <w:rsid w:val="003E4680"/>
    <w:rsid w:val="003E5A0D"/>
    <w:rsid w:val="003E62FE"/>
    <w:rsid w:val="003E658F"/>
    <w:rsid w:val="003E67B2"/>
    <w:rsid w:val="003E6ADD"/>
    <w:rsid w:val="003F120D"/>
    <w:rsid w:val="003F2271"/>
    <w:rsid w:val="003F2E5F"/>
    <w:rsid w:val="003F3965"/>
    <w:rsid w:val="003F58E6"/>
    <w:rsid w:val="003F6C04"/>
    <w:rsid w:val="00401FB1"/>
    <w:rsid w:val="004044BB"/>
    <w:rsid w:val="004104CE"/>
    <w:rsid w:val="004109A1"/>
    <w:rsid w:val="00411194"/>
    <w:rsid w:val="00411358"/>
    <w:rsid w:val="0041265A"/>
    <w:rsid w:val="004126C1"/>
    <w:rsid w:val="004132A4"/>
    <w:rsid w:val="004132BC"/>
    <w:rsid w:val="004136FB"/>
    <w:rsid w:val="004168A5"/>
    <w:rsid w:val="004212C9"/>
    <w:rsid w:val="00421310"/>
    <w:rsid w:val="0042160D"/>
    <w:rsid w:val="0042176A"/>
    <w:rsid w:val="00422745"/>
    <w:rsid w:val="00423746"/>
    <w:rsid w:val="00424A8B"/>
    <w:rsid w:val="00426B13"/>
    <w:rsid w:val="00427521"/>
    <w:rsid w:val="004301C7"/>
    <w:rsid w:val="00431498"/>
    <w:rsid w:val="00431A7E"/>
    <w:rsid w:val="004335A1"/>
    <w:rsid w:val="00435ADD"/>
    <w:rsid w:val="004444FD"/>
    <w:rsid w:val="0044515D"/>
    <w:rsid w:val="004549F9"/>
    <w:rsid w:val="004561A2"/>
    <w:rsid w:val="00456FA7"/>
    <w:rsid w:val="00457596"/>
    <w:rsid w:val="00461164"/>
    <w:rsid w:val="00462C34"/>
    <w:rsid w:val="0046534A"/>
    <w:rsid w:val="00465715"/>
    <w:rsid w:val="00470365"/>
    <w:rsid w:val="00471B93"/>
    <w:rsid w:val="00472118"/>
    <w:rsid w:val="004724F0"/>
    <w:rsid w:val="0047333F"/>
    <w:rsid w:val="004744F3"/>
    <w:rsid w:val="00474DB4"/>
    <w:rsid w:val="004754B8"/>
    <w:rsid w:val="004759CD"/>
    <w:rsid w:val="00484AFE"/>
    <w:rsid w:val="00484FC8"/>
    <w:rsid w:val="00486F2B"/>
    <w:rsid w:val="00490613"/>
    <w:rsid w:val="00490B44"/>
    <w:rsid w:val="00491817"/>
    <w:rsid w:val="0049293F"/>
    <w:rsid w:val="0049467A"/>
    <w:rsid w:val="00496103"/>
    <w:rsid w:val="004A080E"/>
    <w:rsid w:val="004A0E43"/>
    <w:rsid w:val="004A12FE"/>
    <w:rsid w:val="004A2282"/>
    <w:rsid w:val="004A2C21"/>
    <w:rsid w:val="004A3157"/>
    <w:rsid w:val="004A50B4"/>
    <w:rsid w:val="004A5545"/>
    <w:rsid w:val="004A558E"/>
    <w:rsid w:val="004A57C4"/>
    <w:rsid w:val="004B3AB9"/>
    <w:rsid w:val="004B4557"/>
    <w:rsid w:val="004B4C28"/>
    <w:rsid w:val="004B5FCF"/>
    <w:rsid w:val="004B6011"/>
    <w:rsid w:val="004B653D"/>
    <w:rsid w:val="004B6DAC"/>
    <w:rsid w:val="004B6FDF"/>
    <w:rsid w:val="004C0A80"/>
    <w:rsid w:val="004C343A"/>
    <w:rsid w:val="004C7A5E"/>
    <w:rsid w:val="004D1412"/>
    <w:rsid w:val="004D18CF"/>
    <w:rsid w:val="004D2F9E"/>
    <w:rsid w:val="004D339C"/>
    <w:rsid w:val="004D3EA4"/>
    <w:rsid w:val="004D45D1"/>
    <w:rsid w:val="004D5E52"/>
    <w:rsid w:val="004D6131"/>
    <w:rsid w:val="004D6272"/>
    <w:rsid w:val="004E0CBF"/>
    <w:rsid w:val="004E1FB6"/>
    <w:rsid w:val="004E3B09"/>
    <w:rsid w:val="004E438A"/>
    <w:rsid w:val="004E5135"/>
    <w:rsid w:val="004E650F"/>
    <w:rsid w:val="004E782F"/>
    <w:rsid w:val="004F08E8"/>
    <w:rsid w:val="004F0969"/>
    <w:rsid w:val="004F0972"/>
    <w:rsid w:val="004F1D63"/>
    <w:rsid w:val="004F2D86"/>
    <w:rsid w:val="004F335F"/>
    <w:rsid w:val="004F35A8"/>
    <w:rsid w:val="004F4A87"/>
    <w:rsid w:val="004F5F24"/>
    <w:rsid w:val="004F6AE4"/>
    <w:rsid w:val="00505DAE"/>
    <w:rsid w:val="00505F75"/>
    <w:rsid w:val="005064E9"/>
    <w:rsid w:val="00507D2B"/>
    <w:rsid w:val="005119CC"/>
    <w:rsid w:val="00513300"/>
    <w:rsid w:val="00513710"/>
    <w:rsid w:val="005146D9"/>
    <w:rsid w:val="005156A2"/>
    <w:rsid w:val="00516B57"/>
    <w:rsid w:val="005211A2"/>
    <w:rsid w:val="00522C6F"/>
    <w:rsid w:val="0052308F"/>
    <w:rsid w:val="00526839"/>
    <w:rsid w:val="00527728"/>
    <w:rsid w:val="00527FE1"/>
    <w:rsid w:val="005320A1"/>
    <w:rsid w:val="00536AB4"/>
    <w:rsid w:val="005403F6"/>
    <w:rsid w:val="00540774"/>
    <w:rsid w:val="00542728"/>
    <w:rsid w:val="00543CCA"/>
    <w:rsid w:val="00543E96"/>
    <w:rsid w:val="005444DD"/>
    <w:rsid w:val="0054548A"/>
    <w:rsid w:val="005456E4"/>
    <w:rsid w:val="005462A1"/>
    <w:rsid w:val="00546977"/>
    <w:rsid w:val="005512F1"/>
    <w:rsid w:val="0055249A"/>
    <w:rsid w:val="00552A48"/>
    <w:rsid w:val="00553EFA"/>
    <w:rsid w:val="00554874"/>
    <w:rsid w:val="005562EE"/>
    <w:rsid w:val="00563951"/>
    <w:rsid w:val="00564355"/>
    <w:rsid w:val="0057113E"/>
    <w:rsid w:val="00571220"/>
    <w:rsid w:val="0057123F"/>
    <w:rsid w:val="00574147"/>
    <w:rsid w:val="00575E87"/>
    <w:rsid w:val="00580BC9"/>
    <w:rsid w:val="00584018"/>
    <w:rsid w:val="00586F51"/>
    <w:rsid w:val="00590157"/>
    <w:rsid w:val="005902DE"/>
    <w:rsid w:val="00595AF0"/>
    <w:rsid w:val="005961B5"/>
    <w:rsid w:val="00596AA7"/>
    <w:rsid w:val="00597EED"/>
    <w:rsid w:val="005A10F3"/>
    <w:rsid w:val="005A179E"/>
    <w:rsid w:val="005A369C"/>
    <w:rsid w:val="005A36FE"/>
    <w:rsid w:val="005A424F"/>
    <w:rsid w:val="005A7A27"/>
    <w:rsid w:val="005B0375"/>
    <w:rsid w:val="005B208E"/>
    <w:rsid w:val="005B274C"/>
    <w:rsid w:val="005B5483"/>
    <w:rsid w:val="005B6183"/>
    <w:rsid w:val="005B66DF"/>
    <w:rsid w:val="005B7222"/>
    <w:rsid w:val="005B7A60"/>
    <w:rsid w:val="005C531D"/>
    <w:rsid w:val="005C75C9"/>
    <w:rsid w:val="005D0492"/>
    <w:rsid w:val="005D1192"/>
    <w:rsid w:val="005D1F9A"/>
    <w:rsid w:val="005D1FC7"/>
    <w:rsid w:val="005D2174"/>
    <w:rsid w:val="005D3832"/>
    <w:rsid w:val="005D3F05"/>
    <w:rsid w:val="005D51CB"/>
    <w:rsid w:val="005D57E5"/>
    <w:rsid w:val="005D6FB1"/>
    <w:rsid w:val="005D7C70"/>
    <w:rsid w:val="005E1084"/>
    <w:rsid w:val="005E2863"/>
    <w:rsid w:val="005E2C18"/>
    <w:rsid w:val="005E2EFD"/>
    <w:rsid w:val="005E4D1A"/>
    <w:rsid w:val="005E52AA"/>
    <w:rsid w:val="005F0243"/>
    <w:rsid w:val="005F0C6B"/>
    <w:rsid w:val="005F10D0"/>
    <w:rsid w:val="005F1BD8"/>
    <w:rsid w:val="005F1F74"/>
    <w:rsid w:val="005F414B"/>
    <w:rsid w:val="005F4784"/>
    <w:rsid w:val="005F6319"/>
    <w:rsid w:val="005F6F9B"/>
    <w:rsid w:val="00600B55"/>
    <w:rsid w:val="006012AC"/>
    <w:rsid w:val="00601520"/>
    <w:rsid w:val="00601F67"/>
    <w:rsid w:val="00606304"/>
    <w:rsid w:val="006067EC"/>
    <w:rsid w:val="0060794B"/>
    <w:rsid w:val="00611C8D"/>
    <w:rsid w:val="00612B0C"/>
    <w:rsid w:val="0061358B"/>
    <w:rsid w:val="006137C2"/>
    <w:rsid w:val="006142D4"/>
    <w:rsid w:val="006148C2"/>
    <w:rsid w:val="00616939"/>
    <w:rsid w:val="00617D28"/>
    <w:rsid w:val="00620608"/>
    <w:rsid w:val="00621636"/>
    <w:rsid w:val="006230D0"/>
    <w:rsid w:val="00624EB7"/>
    <w:rsid w:val="00625A24"/>
    <w:rsid w:val="0062632D"/>
    <w:rsid w:val="00627900"/>
    <w:rsid w:val="00631F65"/>
    <w:rsid w:val="00631F70"/>
    <w:rsid w:val="00632461"/>
    <w:rsid w:val="006339B9"/>
    <w:rsid w:val="006349B6"/>
    <w:rsid w:val="00634D93"/>
    <w:rsid w:val="00634E0F"/>
    <w:rsid w:val="00635873"/>
    <w:rsid w:val="006358FA"/>
    <w:rsid w:val="00636468"/>
    <w:rsid w:val="00640B9B"/>
    <w:rsid w:val="0064179D"/>
    <w:rsid w:val="0064202A"/>
    <w:rsid w:val="00643580"/>
    <w:rsid w:val="0064504E"/>
    <w:rsid w:val="006453F7"/>
    <w:rsid w:val="00647805"/>
    <w:rsid w:val="00647DAE"/>
    <w:rsid w:val="00650BA4"/>
    <w:rsid w:val="00650C48"/>
    <w:rsid w:val="0065202D"/>
    <w:rsid w:val="00652FDA"/>
    <w:rsid w:val="00654E50"/>
    <w:rsid w:val="00656A9B"/>
    <w:rsid w:val="00656C35"/>
    <w:rsid w:val="00657B44"/>
    <w:rsid w:val="00657DDE"/>
    <w:rsid w:val="0066111D"/>
    <w:rsid w:val="00661FDB"/>
    <w:rsid w:val="006626A6"/>
    <w:rsid w:val="00662EA0"/>
    <w:rsid w:val="00663B7B"/>
    <w:rsid w:val="00665479"/>
    <w:rsid w:val="0066564E"/>
    <w:rsid w:val="00671766"/>
    <w:rsid w:val="00675A0B"/>
    <w:rsid w:val="00675BFA"/>
    <w:rsid w:val="00676F50"/>
    <w:rsid w:val="00677CBE"/>
    <w:rsid w:val="006800F7"/>
    <w:rsid w:val="006803D8"/>
    <w:rsid w:val="006808DB"/>
    <w:rsid w:val="006816AC"/>
    <w:rsid w:val="00683498"/>
    <w:rsid w:val="0068393A"/>
    <w:rsid w:val="00684D60"/>
    <w:rsid w:val="00685243"/>
    <w:rsid w:val="006856D6"/>
    <w:rsid w:val="00685AB2"/>
    <w:rsid w:val="00690EC9"/>
    <w:rsid w:val="00690ED7"/>
    <w:rsid w:val="006932BF"/>
    <w:rsid w:val="00694632"/>
    <w:rsid w:val="0069791A"/>
    <w:rsid w:val="00697B3D"/>
    <w:rsid w:val="006A081B"/>
    <w:rsid w:val="006A2872"/>
    <w:rsid w:val="006A46BD"/>
    <w:rsid w:val="006A4D9D"/>
    <w:rsid w:val="006A6EC1"/>
    <w:rsid w:val="006A7465"/>
    <w:rsid w:val="006B1B5F"/>
    <w:rsid w:val="006B55E9"/>
    <w:rsid w:val="006B5903"/>
    <w:rsid w:val="006B68A5"/>
    <w:rsid w:val="006C0F8C"/>
    <w:rsid w:val="006C3AE5"/>
    <w:rsid w:val="006C4229"/>
    <w:rsid w:val="006C4ACA"/>
    <w:rsid w:val="006C5D61"/>
    <w:rsid w:val="006C6A82"/>
    <w:rsid w:val="006C6EAB"/>
    <w:rsid w:val="006C7AF6"/>
    <w:rsid w:val="006D0252"/>
    <w:rsid w:val="006D119D"/>
    <w:rsid w:val="006D16B5"/>
    <w:rsid w:val="006D2A6B"/>
    <w:rsid w:val="006D362C"/>
    <w:rsid w:val="006D3634"/>
    <w:rsid w:val="006D5B57"/>
    <w:rsid w:val="006D6B79"/>
    <w:rsid w:val="006D705C"/>
    <w:rsid w:val="006D706F"/>
    <w:rsid w:val="006D767E"/>
    <w:rsid w:val="006E16FF"/>
    <w:rsid w:val="006E1B49"/>
    <w:rsid w:val="006E2240"/>
    <w:rsid w:val="006E27D0"/>
    <w:rsid w:val="006E3C2E"/>
    <w:rsid w:val="006E5D25"/>
    <w:rsid w:val="006E6321"/>
    <w:rsid w:val="006E6B6D"/>
    <w:rsid w:val="006E7939"/>
    <w:rsid w:val="006F003A"/>
    <w:rsid w:val="006F018F"/>
    <w:rsid w:val="006F1858"/>
    <w:rsid w:val="006F3564"/>
    <w:rsid w:val="006F593F"/>
    <w:rsid w:val="006F6524"/>
    <w:rsid w:val="006F6745"/>
    <w:rsid w:val="006F6EDE"/>
    <w:rsid w:val="006F7D90"/>
    <w:rsid w:val="00700F15"/>
    <w:rsid w:val="00701476"/>
    <w:rsid w:val="007016A2"/>
    <w:rsid w:val="00701795"/>
    <w:rsid w:val="00702D8A"/>
    <w:rsid w:val="00703B6F"/>
    <w:rsid w:val="00705860"/>
    <w:rsid w:val="00706A84"/>
    <w:rsid w:val="00712A2C"/>
    <w:rsid w:val="00714344"/>
    <w:rsid w:val="00715FC1"/>
    <w:rsid w:val="0071676B"/>
    <w:rsid w:val="00716AB9"/>
    <w:rsid w:val="00717611"/>
    <w:rsid w:val="00720AE1"/>
    <w:rsid w:val="00721257"/>
    <w:rsid w:val="00722966"/>
    <w:rsid w:val="00723D97"/>
    <w:rsid w:val="00724062"/>
    <w:rsid w:val="00724530"/>
    <w:rsid w:val="0072565F"/>
    <w:rsid w:val="00727ED6"/>
    <w:rsid w:val="00727F84"/>
    <w:rsid w:val="00727FEB"/>
    <w:rsid w:val="007314CB"/>
    <w:rsid w:val="00731590"/>
    <w:rsid w:val="00734C28"/>
    <w:rsid w:val="00740435"/>
    <w:rsid w:val="00741044"/>
    <w:rsid w:val="0074150F"/>
    <w:rsid w:val="00741984"/>
    <w:rsid w:val="00741A6F"/>
    <w:rsid w:val="00742332"/>
    <w:rsid w:val="00743A9C"/>
    <w:rsid w:val="007466A5"/>
    <w:rsid w:val="00746985"/>
    <w:rsid w:val="00747082"/>
    <w:rsid w:val="00747C0A"/>
    <w:rsid w:val="00752732"/>
    <w:rsid w:val="00753B5E"/>
    <w:rsid w:val="007623A7"/>
    <w:rsid w:val="007626D5"/>
    <w:rsid w:val="007646A2"/>
    <w:rsid w:val="0076592A"/>
    <w:rsid w:val="0076620D"/>
    <w:rsid w:val="00770108"/>
    <w:rsid w:val="00770286"/>
    <w:rsid w:val="007712D7"/>
    <w:rsid w:val="007713EC"/>
    <w:rsid w:val="00773ADE"/>
    <w:rsid w:val="007743B2"/>
    <w:rsid w:val="00774596"/>
    <w:rsid w:val="00774F75"/>
    <w:rsid w:val="00776938"/>
    <w:rsid w:val="00776E36"/>
    <w:rsid w:val="00777D10"/>
    <w:rsid w:val="00780BA1"/>
    <w:rsid w:val="00782BCA"/>
    <w:rsid w:val="00782C4B"/>
    <w:rsid w:val="0078305C"/>
    <w:rsid w:val="007839D2"/>
    <w:rsid w:val="00783D34"/>
    <w:rsid w:val="00784A2D"/>
    <w:rsid w:val="007850E2"/>
    <w:rsid w:val="007874A1"/>
    <w:rsid w:val="007877E1"/>
    <w:rsid w:val="00787F55"/>
    <w:rsid w:val="00792F0E"/>
    <w:rsid w:val="00794BF8"/>
    <w:rsid w:val="00795060"/>
    <w:rsid w:val="00797BCA"/>
    <w:rsid w:val="007A0FC4"/>
    <w:rsid w:val="007A1369"/>
    <w:rsid w:val="007A2475"/>
    <w:rsid w:val="007A2B87"/>
    <w:rsid w:val="007A3761"/>
    <w:rsid w:val="007A4A00"/>
    <w:rsid w:val="007A4E19"/>
    <w:rsid w:val="007A4E2B"/>
    <w:rsid w:val="007A664F"/>
    <w:rsid w:val="007A6E18"/>
    <w:rsid w:val="007A74B6"/>
    <w:rsid w:val="007B0434"/>
    <w:rsid w:val="007B0534"/>
    <w:rsid w:val="007B0DA2"/>
    <w:rsid w:val="007B2F40"/>
    <w:rsid w:val="007B30FF"/>
    <w:rsid w:val="007B32C4"/>
    <w:rsid w:val="007B4519"/>
    <w:rsid w:val="007C3594"/>
    <w:rsid w:val="007C446D"/>
    <w:rsid w:val="007C4855"/>
    <w:rsid w:val="007C6EB9"/>
    <w:rsid w:val="007C77D1"/>
    <w:rsid w:val="007D0359"/>
    <w:rsid w:val="007D0ACF"/>
    <w:rsid w:val="007D139D"/>
    <w:rsid w:val="007D1F4B"/>
    <w:rsid w:val="007D2CB5"/>
    <w:rsid w:val="007D3823"/>
    <w:rsid w:val="007D5639"/>
    <w:rsid w:val="007D5CDA"/>
    <w:rsid w:val="007D5CEA"/>
    <w:rsid w:val="007E0389"/>
    <w:rsid w:val="007E2725"/>
    <w:rsid w:val="007E361A"/>
    <w:rsid w:val="007E3F84"/>
    <w:rsid w:val="007F07C6"/>
    <w:rsid w:val="007F1A60"/>
    <w:rsid w:val="007F2FC2"/>
    <w:rsid w:val="007F433C"/>
    <w:rsid w:val="007F55F1"/>
    <w:rsid w:val="0080132A"/>
    <w:rsid w:val="00801AA9"/>
    <w:rsid w:val="00801E30"/>
    <w:rsid w:val="00803427"/>
    <w:rsid w:val="00805ED9"/>
    <w:rsid w:val="0081183B"/>
    <w:rsid w:val="00812EE1"/>
    <w:rsid w:val="008140AF"/>
    <w:rsid w:val="0081671A"/>
    <w:rsid w:val="00816F0D"/>
    <w:rsid w:val="0081751D"/>
    <w:rsid w:val="00820EAE"/>
    <w:rsid w:val="0082206C"/>
    <w:rsid w:val="00822E2D"/>
    <w:rsid w:val="00824C67"/>
    <w:rsid w:val="00824D7B"/>
    <w:rsid w:val="008257E3"/>
    <w:rsid w:val="0082684A"/>
    <w:rsid w:val="008276C4"/>
    <w:rsid w:val="00827C99"/>
    <w:rsid w:val="0083513D"/>
    <w:rsid w:val="0083638D"/>
    <w:rsid w:val="00836B72"/>
    <w:rsid w:val="00836CEB"/>
    <w:rsid w:val="008378A1"/>
    <w:rsid w:val="00841AA7"/>
    <w:rsid w:val="008428D2"/>
    <w:rsid w:val="0084353B"/>
    <w:rsid w:val="008438E9"/>
    <w:rsid w:val="00843C00"/>
    <w:rsid w:val="0084441A"/>
    <w:rsid w:val="00844610"/>
    <w:rsid w:val="0084469C"/>
    <w:rsid w:val="00845E8D"/>
    <w:rsid w:val="0085096D"/>
    <w:rsid w:val="00851AB8"/>
    <w:rsid w:val="00852C7A"/>
    <w:rsid w:val="00854011"/>
    <w:rsid w:val="008541AB"/>
    <w:rsid w:val="00855415"/>
    <w:rsid w:val="00857CA6"/>
    <w:rsid w:val="00861B26"/>
    <w:rsid w:val="00861F02"/>
    <w:rsid w:val="00862EE2"/>
    <w:rsid w:val="00865E0C"/>
    <w:rsid w:val="00866D4B"/>
    <w:rsid w:val="0087076C"/>
    <w:rsid w:val="00870825"/>
    <w:rsid w:val="0087156C"/>
    <w:rsid w:val="00871E72"/>
    <w:rsid w:val="00872587"/>
    <w:rsid w:val="00872767"/>
    <w:rsid w:val="008728F2"/>
    <w:rsid w:val="00876DD2"/>
    <w:rsid w:val="00880534"/>
    <w:rsid w:val="00881F02"/>
    <w:rsid w:val="008857B5"/>
    <w:rsid w:val="00887A02"/>
    <w:rsid w:val="008902CD"/>
    <w:rsid w:val="008932BA"/>
    <w:rsid w:val="00893697"/>
    <w:rsid w:val="00894D5A"/>
    <w:rsid w:val="00895322"/>
    <w:rsid w:val="008A0683"/>
    <w:rsid w:val="008A3E44"/>
    <w:rsid w:val="008A4FEF"/>
    <w:rsid w:val="008A542F"/>
    <w:rsid w:val="008A54D0"/>
    <w:rsid w:val="008A5EE8"/>
    <w:rsid w:val="008A71F7"/>
    <w:rsid w:val="008B0452"/>
    <w:rsid w:val="008B1732"/>
    <w:rsid w:val="008B22FE"/>
    <w:rsid w:val="008B5AD7"/>
    <w:rsid w:val="008B5BFF"/>
    <w:rsid w:val="008C0454"/>
    <w:rsid w:val="008C2407"/>
    <w:rsid w:val="008C2479"/>
    <w:rsid w:val="008C2674"/>
    <w:rsid w:val="008C31C2"/>
    <w:rsid w:val="008C5CF5"/>
    <w:rsid w:val="008C5F28"/>
    <w:rsid w:val="008C70BF"/>
    <w:rsid w:val="008C7DBD"/>
    <w:rsid w:val="008D07B2"/>
    <w:rsid w:val="008D0992"/>
    <w:rsid w:val="008D1ACF"/>
    <w:rsid w:val="008D3192"/>
    <w:rsid w:val="008D461D"/>
    <w:rsid w:val="008D4AD1"/>
    <w:rsid w:val="008D586A"/>
    <w:rsid w:val="008D5ADA"/>
    <w:rsid w:val="008D5F67"/>
    <w:rsid w:val="008D74E1"/>
    <w:rsid w:val="008E087E"/>
    <w:rsid w:val="008E14CD"/>
    <w:rsid w:val="008E1519"/>
    <w:rsid w:val="008E191A"/>
    <w:rsid w:val="008E20C8"/>
    <w:rsid w:val="008E2B1A"/>
    <w:rsid w:val="008E495F"/>
    <w:rsid w:val="008E506E"/>
    <w:rsid w:val="008E5A4D"/>
    <w:rsid w:val="008E6123"/>
    <w:rsid w:val="008E64BD"/>
    <w:rsid w:val="008E679C"/>
    <w:rsid w:val="008F15CF"/>
    <w:rsid w:val="008F24B9"/>
    <w:rsid w:val="008F29C1"/>
    <w:rsid w:val="008F2B5A"/>
    <w:rsid w:val="008F334A"/>
    <w:rsid w:val="008F5053"/>
    <w:rsid w:val="008F7028"/>
    <w:rsid w:val="00900F18"/>
    <w:rsid w:val="0090266A"/>
    <w:rsid w:val="00903266"/>
    <w:rsid w:val="009039A5"/>
    <w:rsid w:val="00904A19"/>
    <w:rsid w:val="009051D7"/>
    <w:rsid w:val="009067DB"/>
    <w:rsid w:val="00906CE2"/>
    <w:rsid w:val="00907754"/>
    <w:rsid w:val="00911512"/>
    <w:rsid w:val="00911BF5"/>
    <w:rsid w:val="009132A5"/>
    <w:rsid w:val="0091434B"/>
    <w:rsid w:val="00915F69"/>
    <w:rsid w:val="00916A8F"/>
    <w:rsid w:val="00921049"/>
    <w:rsid w:val="00922251"/>
    <w:rsid w:val="00922B09"/>
    <w:rsid w:val="00922FCE"/>
    <w:rsid w:val="009233CF"/>
    <w:rsid w:val="009241E1"/>
    <w:rsid w:val="0092781E"/>
    <w:rsid w:val="00931D22"/>
    <w:rsid w:val="00931F45"/>
    <w:rsid w:val="00932382"/>
    <w:rsid w:val="00932C7F"/>
    <w:rsid w:val="0093317D"/>
    <w:rsid w:val="00934A54"/>
    <w:rsid w:val="0093527B"/>
    <w:rsid w:val="00935742"/>
    <w:rsid w:val="00936FF6"/>
    <w:rsid w:val="00937D23"/>
    <w:rsid w:val="00940EC3"/>
    <w:rsid w:val="00941F9A"/>
    <w:rsid w:val="009431FF"/>
    <w:rsid w:val="009433BE"/>
    <w:rsid w:val="00943F9D"/>
    <w:rsid w:val="00945CB0"/>
    <w:rsid w:val="00947E5A"/>
    <w:rsid w:val="00950458"/>
    <w:rsid w:val="00954354"/>
    <w:rsid w:val="0096033D"/>
    <w:rsid w:val="00960843"/>
    <w:rsid w:val="00960FF8"/>
    <w:rsid w:val="00963947"/>
    <w:rsid w:val="009639C2"/>
    <w:rsid w:val="00964CDD"/>
    <w:rsid w:val="00965ED4"/>
    <w:rsid w:val="00966814"/>
    <w:rsid w:val="00972078"/>
    <w:rsid w:val="009731D3"/>
    <w:rsid w:val="00980453"/>
    <w:rsid w:val="00980DB9"/>
    <w:rsid w:val="00981297"/>
    <w:rsid w:val="009839B6"/>
    <w:rsid w:val="0098535C"/>
    <w:rsid w:val="00986558"/>
    <w:rsid w:val="0098677B"/>
    <w:rsid w:val="0098697B"/>
    <w:rsid w:val="00987BEB"/>
    <w:rsid w:val="00990711"/>
    <w:rsid w:val="00990C92"/>
    <w:rsid w:val="00991046"/>
    <w:rsid w:val="009923FD"/>
    <w:rsid w:val="009934BF"/>
    <w:rsid w:val="009942B5"/>
    <w:rsid w:val="00995448"/>
    <w:rsid w:val="00997508"/>
    <w:rsid w:val="009A0682"/>
    <w:rsid w:val="009A088A"/>
    <w:rsid w:val="009A5231"/>
    <w:rsid w:val="009A528B"/>
    <w:rsid w:val="009A5718"/>
    <w:rsid w:val="009A6F8F"/>
    <w:rsid w:val="009B0BAB"/>
    <w:rsid w:val="009B332A"/>
    <w:rsid w:val="009B6839"/>
    <w:rsid w:val="009B7171"/>
    <w:rsid w:val="009B7EFD"/>
    <w:rsid w:val="009C0DA1"/>
    <w:rsid w:val="009C109B"/>
    <w:rsid w:val="009C2537"/>
    <w:rsid w:val="009C3F32"/>
    <w:rsid w:val="009C493C"/>
    <w:rsid w:val="009C6767"/>
    <w:rsid w:val="009D005A"/>
    <w:rsid w:val="009D0873"/>
    <w:rsid w:val="009D22E2"/>
    <w:rsid w:val="009D2572"/>
    <w:rsid w:val="009D2732"/>
    <w:rsid w:val="009D285B"/>
    <w:rsid w:val="009D4548"/>
    <w:rsid w:val="009D4E66"/>
    <w:rsid w:val="009E0D7D"/>
    <w:rsid w:val="009E15B4"/>
    <w:rsid w:val="009E1EEA"/>
    <w:rsid w:val="009E2747"/>
    <w:rsid w:val="009E3030"/>
    <w:rsid w:val="009E42EB"/>
    <w:rsid w:val="009E51C1"/>
    <w:rsid w:val="009E797F"/>
    <w:rsid w:val="009E7A29"/>
    <w:rsid w:val="009F07AE"/>
    <w:rsid w:val="009F416D"/>
    <w:rsid w:val="009F46D4"/>
    <w:rsid w:val="009F7FB9"/>
    <w:rsid w:val="00A0287C"/>
    <w:rsid w:val="00A04793"/>
    <w:rsid w:val="00A04CAD"/>
    <w:rsid w:val="00A05789"/>
    <w:rsid w:val="00A0625D"/>
    <w:rsid w:val="00A0713C"/>
    <w:rsid w:val="00A07354"/>
    <w:rsid w:val="00A07D7C"/>
    <w:rsid w:val="00A07D7D"/>
    <w:rsid w:val="00A100C9"/>
    <w:rsid w:val="00A14556"/>
    <w:rsid w:val="00A147D8"/>
    <w:rsid w:val="00A14F22"/>
    <w:rsid w:val="00A172D1"/>
    <w:rsid w:val="00A239E1"/>
    <w:rsid w:val="00A23B20"/>
    <w:rsid w:val="00A3102F"/>
    <w:rsid w:val="00A3143A"/>
    <w:rsid w:val="00A316C3"/>
    <w:rsid w:val="00A32A32"/>
    <w:rsid w:val="00A36335"/>
    <w:rsid w:val="00A378C5"/>
    <w:rsid w:val="00A37EAC"/>
    <w:rsid w:val="00A4000F"/>
    <w:rsid w:val="00A40928"/>
    <w:rsid w:val="00A41157"/>
    <w:rsid w:val="00A415B5"/>
    <w:rsid w:val="00A44DA0"/>
    <w:rsid w:val="00A46052"/>
    <w:rsid w:val="00A47A20"/>
    <w:rsid w:val="00A47C8F"/>
    <w:rsid w:val="00A51CC4"/>
    <w:rsid w:val="00A51D9C"/>
    <w:rsid w:val="00A52248"/>
    <w:rsid w:val="00A52479"/>
    <w:rsid w:val="00A52668"/>
    <w:rsid w:val="00A53D0E"/>
    <w:rsid w:val="00A55190"/>
    <w:rsid w:val="00A559F7"/>
    <w:rsid w:val="00A57048"/>
    <w:rsid w:val="00A61155"/>
    <w:rsid w:val="00A62682"/>
    <w:rsid w:val="00A626CD"/>
    <w:rsid w:val="00A64476"/>
    <w:rsid w:val="00A657A6"/>
    <w:rsid w:val="00A67579"/>
    <w:rsid w:val="00A67A56"/>
    <w:rsid w:val="00A67B9F"/>
    <w:rsid w:val="00A67CB9"/>
    <w:rsid w:val="00A67ECD"/>
    <w:rsid w:val="00A70AB2"/>
    <w:rsid w:val="00A72C97"/>
    <w:rsid w:val="00A7345D"/>
    <w:rsid w:val="00A80320"/>
    <w:rsid w:val="00A808AA"/>
    <w:rsid w:val="00A834FD"/>
    <w:rsid w:val="00A904EA"/>
    <w:rsid w:val="00A90962"/>
    <w:rsid w:val="00A926EE"/>
    <w:rsid w:val="00A95C49"/>
    <w:rsid w:val="00A96970"/>
    <w:rsid w:val="00A973C8"/>
    <w:rsid w:val="00A97EDE"/>
    <w:rsid w:val="00AA1E92"/>
    <w:rsid w:val="00AA42ED"/>
    <w:rsid w:val="00AA6DCE"/>
    <w:rsid w:val="00AA6F46"/>
    <w:rsid w:val="00AA769B"/>
    <w:rsid w:val="00AB002F"/>
    <w:rsid w:val="00AB0AFD"/>
    <w:rsid w:val="00AB104A"/>
    <w:rsid w:val="00AB271A"/>
    <w:rsid w:val="00AB34E2"/>
    <w:rsid w:val="00AB5FB4"/>
    <w:rsid w:val="00AB63E2"/>
    <w:rsid w:val="00AB765C"/>
    <w:rsid w:val="00AB7884"/>
    <w:rsid w:val="00AB78FF"/>
    <w:rsid w:val="00AC19A2"/>
    <w:rsid w:val="00AC1CF3"/>
    <w:rsid w:val="00AC1D41"/>
    <w:rsid w:val="00AC5A25"/>
    <w:rsid w:val="00AC6080"/>
    <w:rsid w:val="00AC66DD"/>
    <w:rsid w:val="00AC6AC2"/>
    <w:rsid w:val="00AC6E4C"/>
    <w:rsid w:val="00AD319D"/>
    <w:rsid w:val="00AD40D9"/>
    <w:rsid w:val="00AD4B5F"/>
    <w:rsid w:val="00AD64B7"/>
    <w:rsid w:val="00AD7544"/>
    <w:rsid w:val="00AE0E6B"/>
    <w:rsid w:val="00AE1545"/>
    <w:rsid w:val="00AE15C4"/>
    <w:rsid w:val="00AE5022"/>
    <w:rsid w:val="00AE7DD0"/>
    <w:rsid w:val="00AF0C1F"/>
    <w:rsid w:val="00AF1408"/>
    <w:rsid w:val="00AF5C08"/>
    <w:rsid w:val="00AF66E8"/>
    <w:rsid w:val="00AF79F8"/>
    <w:rsid w:val="00AF7B34"/>
    <w:rsid w:val="00B0381D"/>
    <w:rsid w:val="00B04E55"/>
    <w:rsid w:val="00B0579D"/>
    <w:rsid w:val="00B05845"/>
    <w:rsid w:val="00B05A21"/>
    <w:rsid w:val="00B0655F"/>
    <w:rsid w:val="00B065C9"/>
    <w:rsid w:val="00B1009E"/>
    <w:rsid w:val="00B10403"/>
    <w:rsid w:val="00B11018"/>
    <w:rsid w:val="00B11CEE"/>
    <w:rsid w:val="00B130BD"/>
    <w:rsid w:val="00B13943"/>
    <w:rsid w:val="00B13BD9"/>
    <w:rsid w:val="00B14699"/>
    <w:rsid w:val="00B15CAF"/>
    <w:rsid w:val="00B17B6E"/>
    <w:rsid w:val="00B17CA5"/>
    <w:rsid w:val="00B212A0"/>
    <w:rsid w:val="00B22361"/>
    <w:rsid w:val="00B23312"/>
    <w:rsid w:val="00B25307"/>
    <w:rsid w:val="00B27056"/>
    <w:rsid w:val="00B270CA"/>
    <w:rsid w:val="00B31647"/>
    <w:rsid w:val="00B336C5"/>
    <w:rsid w:val="00B33B87"/>
    <w:rsid w:val="00B34E65"/>
    <w:rsid w:val="00B35AB5"/>
    <w:rsid w:val="00B368E2"/>
    <w:rsid w:val="00B4235B"/>
    <w:rsid w:val="00B42AF9"/>
    <w:rsid w:val="00B42CF4"/>
    <w:rsid w:val="00B433B0"/>
    <w:rsid w:val="00B44923"/>
    <w:rsid w:val="00B46014"/>
    <w:rsid w:val="00B47220"/>
    <w:rsid w:val="00B47806"/>
    <w:rsid w:val="00B519D4"/>
    <w:rsid w:val="00B51E70"/>
    <w:rsid w:val="00B53838"/>
    <w:rsid w:val="00B5399E"/>
    <w:rsid w:val="00B62320"/>
    <w:rsid w:val="00B656F3"/>
    <w:rsid w:val="00B6574A"/>
    <w:rsid w:val="00B663C0"/>
    <w:rsid w:val="00B67139"/>
    <w:rsid w:val="00B676E7"/>
    <w:rsid w:val="00B67A28"/>
    <w:rsid w:val="00B70137"/>
    <w:rsid w:val="00B70474"/>
    <w:rsid w:val="00B71BCD"/>
    <w:rsid w:val="00B72D74"/>
    <w:rsid w:val="00B74A82"/>
    <w:rsid w:val="00B74C88"/>
    <w:rsid w:val="00B751C0"/>
    <w:rsid w:val="00B75A43"/>
    <w:rsid w:val="00B77019"/>
    <w:rsid w:val="00B835AF"/>
    <w:rsid w:val="00B83917"/>
    <w:rsid w:val="00B83B0B"/>
    <w:rsid w:val="00B91E72"/>
    <w:rsid w:val="00B93C1B"/>
    <w:rsid w:val="00B95522"/>
    <w:rsid w:val="00B96253"/>
    <w:rsid w:val="00B9756A"/>
    <w:rsid w:val="00BA1B1A"/>
    <w:rsid w:val="00BA3066"/>
    <w:rsid w:val="00BA4649"/>
    <w:rsid w:val="00BA79D8"/>
    <w:rsid w:val="00BB04C9"/>
    <w:rsid w:val="00BB2D6D"/>
    <w:rsid w:val="00BB3948"/>
    <w:rsid w:val="00BB3DAA"/>
    <w:rsid w:val="00BB5961"/>
    <w:rsid w:val="00BB5B49"/>
    <w:rsid w:val="00BB5C8F"/>
    <w:rsid w:val="00BB6084"/>
    <w:rsid w:val="00BB7F7C"/>
    <w:rsid w:val="00BC0459"/>
    <w:rsid w:val="00BC04E7"/>
    <w:rsid w:val="00BC2264"/>
    <w:rsid w:val="00BC2B43"/>
    <w:rsid w:val="00BC3C8F"/>
    <w:rsid w:val="00BC4C32"/>
    <w:rsid w:val="00BC5F4B"/>
    <w:rsid w:val="00BC615D"/>
    <w:rsid w:val="00BC69FB"/>
    <w:rsid w:val="00BC771A"/>
    <w:rsid w:val="00BC7B77"/>
    <w:rsid w:val="00BD19D0"/>
    <w:rsid w:val="00BD1EB8"/>
    <w:rsid w:val="00BD1F97"/>
    <w:rsid w:val="00BD2A06"/>
    <w:rsid w:val="00BD3BC2"/>
    <w:rsid w:val="00BD4FDD"/>
    <w:rsid w:val="00BD5A6C"/>
    <w:rsid w:val="00BE18C5"/>
    <w:rsid w:val="00BE2E9B"/>
    <w:rsid w:val="00BF0E53"/>
    <w:rsid w:val="00BF48D6"/>
    <w:rsid w:val="00BF4D7C"/>
    <w:rsid w:val="00BF62B3"/>
    <w:rsid w:val="00BF7A67"/>
    <w:rsid w:val="00C013B4"/>
    <w:rsid w:val="00C01CBE"/>
    <w:rsid w:val="00C04387"/>
    <w:rsid w:val="00C063BE"/>
    <w:rsid w:val="00C0749D"/>
    <w:rsid w:val="00C07B14"/>
    <w:rsid w:val="00C109A0"/>
    <w:rsid w:val="00C12A79"/>
    <w:rsid w:val="00C149F0"/>
    <w:rsid w:val="00C14F87"/>
    <w:rsid w:val="00C20C0D"/>
    <w:rsid w:val="00C23085"/>
    <w:rsid w:val="00C236F4"/>
    <w:rsid w:val="00C24989"/>
    <w:rsid w:val="00C24C02"/>
    <w:rsid w:val="00C261CB"/>
    <w:rsid w:val="00C30023"/>
    <w:rsid w:val="00C30113"/>
    <w:rsid w:val="00C3078A"/>
    <w:rsid w:val="00C320BB"/>
    <w:rsid w:val="00C3381A"/>
    <w:rsid w:val="00C3498B"/>
    <w:rsid w:val="00C34B07"/>
    <w:rsid w:val="00C40B39"/>
    <w:rsid w:val="00C41E35"/>
    <w:rsid w:val="00C428CC"/>
    <w:rsid w:val="00C44A21"/>
    <w:rsid w:val="00C45961"/>
    <w:rsid w:val="00C51CF0"/>
    <w:rsid w:val="00C53110"/>
    <w:rsid w:val="00C5460A"/>
    <w:rsid w:val="00C566C7"/>
    <w:rsid w:val="00C60A68"/>
    <w:rsid w:val="00C60EA7"/>
    <w:rsid w:val="00C629EF"/>
    <w:rsid w:val="00C65D5F"/>
    <w:rsid w:val="00C662A1"/>
    <w:rsid w:val="00C66FD7"/>
    <w:rsid w:val="00C70596"/>
    <w:rsid w:val="00C71528"/>
    <w:rsid w:val="00C717FC"/>
    <w:rsid w:val="00C750CA"/>
    <w:rsid w:val="00C75922"/>
    <w:rsid w:val="00C8066A"/>
    <w:rsid w:val="00C808DF"/>
    <w:rsid w:val="00C810E8"/>
    <w:rsid w:val="00C84798"/>
    <w:rsid w:val="00C86A71"/>
    <w:rsid w:val="00C8784C"/>
    <w:rsid w:val="00C906C2"/>
    <w:rsid w:val="00C90777"/>
    <w:rsid w:val="00C9155D"/>
    <w:rsid w:val="00C91A22"/>
    <w:rsid w:val="00C924C8"/>
    <w:rsid w:val="00C92575"/>
    <w:rsid w:val="00C93213"/>
    <w:rsid w:val="00C96EEB"/>
    <w:rsid w:val="00C978B5"/>
    <w:rsid w:val="00C97A5B"/>
    <w:rsid w:val="00CA0389"/>
    <w:rsid w:val="00CA1499"/>
    <w:rsid w:val="00CA1CDB"/>
    <w:rsid w:val="00CA2550"/>
    <w:rsid w:val="00CA3408"/>
    <w:rsid w:val="00CA38CE"/>
    <w:rsid w:val="00CA4089"/>
    <w:rsid w:val="00CA4887"/>
    <w:rsid w:val="00CA5E62"/>
    <w:rsid w:val="00CA62D2"/>
    <w:rsid w:val="00CA633D"/>
    <w:rsid w:val="00CA6D5F"/>
    <w:rsid w:val="00CA72E9"/>
    <w:rsid w:val="00CA7421"/>
    <w:rsid w:val="00CA779E"/>
    <w:rsid w:val="00CB42A2"/>
    <w:rsid w:val="00CC0365"/>
    <w:rsid w:val="00CC3B6D"/>
    <w:rsid w:val="00CC469D"/>
    <w:rsid w:val="00CC5820"/>
    <w:rsid w:val="00CC60D8"/>
    <w:rsid w:val="00CC7753"/>
    <w:rsid w:val="00CC7A03"/>
    <w:rsid w:val="00CD2144"/>
    <w:rsid w:val="00CD6561"/>
    <w:rsid w:val="00CE2333"/>
    <w:rsid w:val="00CE2A04"/>
    <w:rsid w:val="00CE3D2E"/>
    <w:rsid w:val="00CE5603"/>
    <w:rsid w:val="00CE6A63"/>
    <w:rsid w:val="00CE6E44"/>
    <w:rsid w:val="00CE7A70"/>
    <w:rsid w:val="00CE7F7A"/>
    <w:rsid w:val="00CF001B"/>
    <w:rsid w:val="00CF1188"/>
    <w:rsid w:val="00CF4CF2"/>
    <w:rsid w:val="00CF51F5"/>
    <w:rsid w:val="00CF60A9"/>
    <w:rsid w:val="00CF6EC6"/>
    <w:rsid w:val="00CF77A8"/>
    <w:rsid w:val="00D01F5F"/>
    <w:rsid w:val="00D0442D"/>
    <w:rsid w:val="00D05DCC"/>
    <w:rsid w:val="00D05F76"/>
    <w:rsid w:val="00D10693"/>
    <w:rsid w:val="00D11DDD"/>
    <w:rsid w:val="00D126F9"/>
    <w:rsid w:val="00D14FE8"/>
    <w:rsid w:val="00D1585B"/>
    <w:rsid w:val="00D16418"/>
    <w:rsid w:val="00D17FF9"/>
    <w:rsid w:val="00D20056"/>
    <w:rsid w:val="00D20755"/>
    <w:rsid w:val="00D23581"/>
    <w:rsid w:val="00D2627F"/>
    <w:rsid w:val="00D2722E"/>
    <w:rsid w:val="00D274E8"/>
    <w:rsid w:val="00D30822"/>
    <w:rsid w:val="00D316DF"/>
    <w:rsid w:val="00D32678"/>
    <w:rsid w:val="00D337C6"/>
    <w:rsid w:val="00D343E4"/>
    <w:rsid w:val="00D35B21"/>
    <w:rsid w:val="00D401F9"/>
    <w:rsid w:val="00D40A77"/>
    <w:rsid w:val="00D40FB2"/>
    <w:rsid w:val="00D417D7"/>
    <w:rsid w:val="00D41FCD"/>
    <w:rsid w:val="00D4390C"/>
    <w:rsid w:val="00D43E55"/>
    <w:rsid w:val="00D47B81"/>
    <w:rsid w:val="00D51E80"/>
    <w:rsid w:val="00D55165"/>
    <w:rsid w:val="00D56B19"/>
    <w:rsid w:val="00D570FD"/>
    <w:rsid w:val="00D60194"/>
    <w:rsid w:val="00D60B29"/>
    <w:rsid w:val="00D61B51"/>
    <w:rsid w:val="00D62684"/>
    <w:rsid w:val="00D65B36"/>
    <w:rsid w:val="00D6727C"/>
    <w:rsid w:val="00D713E7"/>
    <w:rsid w:val="00D724B7"/>
    <w:rsid w:val="00D731AC"/>
    <w:rsid w:val="00D73711"/>
    <w:rsid w:val="00D73AF1"/>
    <w:rsid w:val="00D74D4D"/>
    <w:rsid w:val="00D75169"/>
    <w:rsid w:val="00D75B38"/>
    <w:rsid w:val="00D779B6"/>
    <w:rsid w:val="00D811D1"/>
    <w:rsid w:val="00D81CDB"/>
    <w:rsid w:val="00D8200F"/>
    <w:rsid w:val="00D8291F"/>
    <w:rsid w:val="00D8661C"/>
    <w:rsid w:val="00D9101F"/>
    <w:rsid w:val="00D916C2"/>
    <w:rsid w:val="00D96B41"/>
    <w:rsid w:val="00D96F42"/>
    <w:rsid w:val="00D9791B"/>
    <w:rsid w:val="00D9796B"/>
    <w:rsid w:val="00DA0953"/>
    <w:rsid w:val="00DA2387"/>
    <w:rsid w:val="00DA2C40"/>
    <w:rsid w:val="00DA564B"/>
    <w:rsid w:val="00DA5812"/>
    <w:rsid w:val="00DA64F8"/>
    <w:rsid w:val="00DA72CD"/>
    <w:rsid w:val="00DB0D75"/>
    <w:rsid w:val="00DB1ED4"/>
    <w:rsid w:val="00DB207D"/>
    <w:rsid w:val="00DB2CFB"/>
    <w:rsid w:val="00DB3674"/>
    <w:rsid w:val="00DB3A2B"/>
    <w:rsid w:val="00DB5A27"/>
    <w:rsid w:val="00DB79BC"/>
    <w:rsid w:val="00DC25BA"/>
    <w:rsid w:val="00DC2A8A"/>
    <w:rsid w:val="00DC3DF4"/>
    <w:rsid w:val="00DC45E3"/>
    <w:rsid w:val="00DC7C43"/>
    <w:rsid w:val="00DC7E36"/>
    <w:rsid w:val="00DD0BAA"/>
    <w:rsid w:val="00DD35F3"/>
    <w:rsid w:val="00DD3B4B"/>
    <w:rsid w:val="00DD3CE7"/>
    <w:rsid w:val="00DD3D83"/>
    <w:rsid w:val="00DD406D"/>
    <w:rsid w:val="00DD4956"/>
    <w:rsid w:val="00DD549A"/>
    <w:rsid w:val="00DD69BA"/>
    <w:rsid w:val="00DD6C07"/>
    <w:rsid w:val="00DD6FDA"/>
    <w:rsid w:val="00DE1B25"/>
    <w:rsid w:val="00DE1B2C"/>
    <w:rsid w:val="00DE24BF"/>
    <w:rsid w:val="00DE2C11"/>
    <w:rsid w:val="00DE3E53"/>
    <w:rsid w:val="00DE4CB7"/>
    <w:rsid w:val="00DE6152"/>
    <w:rsid w:val="00DE6352"/>
    <w:rsid w:val="00DE75B9"/>
    <w:rsid w:val="00DF0993"/>
    <w:rsid w:val="00DF1021"/>
    <w:rsid w:val="00DF10E0"/>
    <w:rsid w:val="00DF283E"/>
    <w:rsid w:val="00DF3B71"/>
    <w:rsid w:val="00DF3E6B"/>
    <w:rsid w:val="00DF479C"/>
    <w:rsid w:val="00DF761C"/>
    <w:rsid w:val="00DF7A0C"/>
    <w:rsid w:val="00E003C6"/>
    <w:rsid w:val="00E00855"/>
    <w:rsid w:val="00E00E81"/>
    <w:rsid w:val="00E01B8A"/>
    <w:rsid w:val="00E01DAA"/>
    <w:rsid w:val="00E0464A"/>
    <w:rsid w:val="00E05EFE"/>
    <w:rsid w:val="00E07051"/>
    <w:rsid w:val="00E07787"/>
    <w:rsid w:val="00E07947"/>
    <w:rsid w:val="00E14E1D"/>
    <w:rsid w:val="00E1586F"/>
    <w:rsid w:val="00E165AB"/>
    <w:rsid w:val="00E175E2"/>
    <w:rsid w:val="00E2133F"/>
    <w:rsid w:val="00E22ADD"/>
    <w:rsid w:val="00E2490C"/>
    <w:rsid w:val="00E253EC"/>
    <w:rsid w:val="00E262AD"/>
    <w:rsid w:val="00E267E0"/>
    <w:rsid w:val="00E30E0C"/>
    <w:rsid w:val="00E31F97"/>
    <w:rsid w:val="00E33A22"/>
    <w:rsid w:val="00E353CE"/>
    <w:rsid w:val="00E35F77"/>
    <w:rsid w:val="00E3674D"/>
    <w:rsid w:val="00E36769"/>
    <w:rsid w:val="00E37368"/>
    <w:rsid w:val="00E37DCB"/>
    <w:rsid w:val="00E416AC"/>
    <w:rsid w:val="00E41A59"/>
    <w:rsid w:val="00E476A8"/>
    <w:rsid w:val="00E512A8"/>
    <w:rsid w:val="00E51F01"/>
    <w:rsid w:val="00E52FBD"/>
    <w:rsid w:val="00E55CA3"/>
    <w:rsid w:val="00E60A80"/>
    <w:rsid w:val="00E641C6"/>
    <w:rsid w:val="00E644A9"/>
    <w:rsid w:val="00E6504B"/>
    <w:rsid w:val="00E668FB"/>
    <w:rsid w:val="00E7230A"/>
    <w:rsid w:val="00E72F2A"/>
    <w:rsid w:val="00E73670"/>
    <w:rsid w:val="00E74774"/>
    <w:rsid w:val="00E76A1F"/>
    <w:rsid w:val="00E76AEB"/>
    <w:rsid w:val="00E76EB1"/>
    <w:rsid w:val="00E81359"/>
    <w:rsid w:val="00E85FDB"/>
    <w:rsid w:val="00E87949"/>
    <w:rsid w:val="00E87B8E"/>
    <w:rsid w:val="00E87E2E"/>
    <w:rsid w:val="00E90779"/>
    <w:rsid w:val="00E90794"/>
    <w:rsid w:val="00E91EE9"/>
    <w:rsid w:val="00E924B5"/>
    <w:rsid w:val="00E925C8"/>
    <w:rsid w:val="00E93C44"/>
    <w:rsid w:val="00E95327"/>
    <w:rsid w:val="00E95361"/>
    <w:rsid w:val="00E95CC3"/>
    <w:rsid w:val="00E97088"/>
    <w:rsid w:val="00EA121B"/>
    <w:rsid w:val="00EA4088"/>
    <w:rsid w:val="00EA537B"/>
    <w:rsid w:val="00EA68D8"/>
    <w:rsid w:val="00EB1B5B"/>
    <w:rsid w:val="00EB2743"/>
    <w:rsid w:val="00EB28A7"/>
    <w:rsid w:val="00EB3786"/>
    <w:rsid w:val="00EB3963"/>
    <w:rsid w:val="00EB3A34"/>
    <w:rsid w:val="00EB3A57"/>
    <w:rsid w:val="00EB45B0"/>
    <w:rsid w:val="00EB657E"/>
    <w:rsid w:val="00EB7864"/>
    <w:rsid w:val="00EC0965"/>
    <w:rsid w:val="00EC162D"/>
    <w:rsid w:val="00EC2024"/>
    <w:rsid w:val="00EC22BC"/>
    <w:rsid w:val="00EC2603"/>
    <w:rsid w:val="00EC7D42"/>
    <w:rsid w:val="00ED140F"/>
    <w:rsid w:val="00ED166F"/>
    <w:rsid w:val="00ED17A2"/>
    <w:rsid w:val="00ED25AA"/>
    <w:rsid w:val="00ED4F91"/>
    <w:rsid w:val="00ED5F2E"/>
    <w:rsid w:val="00ED6293"/>
    <w:rsid w:val="00ED6A91"/>
    <w:rsid w:val="00EE1A9D"/>
    <w:rsid w:val="00EE1FFE"/>
    <w:rsid w:val="00EE29EA"/>
    <w:rsid w:val="00EE2C56"/>
    <w:rsid w:val="00EE2DFE"/>
    <w:rsid w:val="00EE2EE3"/>
    <w:rsid w:val="00EE3072"/>
    <w:rsid w:val="00EE32B1"/>
    <w:rsid w:val="00EE35F9"/>
    <w:rsid w:val="00EE3904"/>
    <w:rsid w:val="00EE52C8"/>
    <w:rsid w:val="00EE5AAB"/>
    <w:rsid w:val="00EE5F40"/>
    <w:rsid w:val="00EE6D16"/>
    <w:rsid w:val="00EE7C86"/>
    <w:rsid w:val="00EF18C9"/>
    <w:rsid w:val="00EF19A3"/>
    <w:rsid w:val="00EF2216"/>
    <w:rsid w:val="00EF245C"/>
    <w:rsid w:val="00EF3283"/>
    <w:rsid w:val="00EF4562"/>
    <w:rsid w:val="00EF50C3"/>
    <w:rsid w:val="00EF6708"/>
    <w:rsid w:val="00EF7617"/>
    <w:rsid w:val="00EF7E94"/>
    <w:rsid w:val="00F00A26"/>
    <w:rsid w:val="00F00B3E"/>
    <w:rsid w:val="00F0136E"/>
    <w:rsid w:val="00F013C5"/>
    <w:rsid w:val="00F020AF"/>
    <w:rsid w:val="00F02AC9"/>
    <w:rsid w:val="00F02B6C"/>
    <w:rsid w:val="00F06288"/>
    <w:rsid w:val="00F062F1"/>
    <w:rsid w:val="00F0648D"/>
    <w:rsid w:val="00F11FDD"/>
    <w:rsid w:val="00F12F9A"/>
    <w:rsid w:val="00F13C92"/>
    <w:rsid w:val="00F1492D"/>
    <w:rsid w:val="00F152C5"/>
    <w:rsid w:val="00F159C4"/>
    <w:rsid w:val="00F15F36"/>
    <w:rsid w:val="00F17CE8"/>
    <w:rsid w:val="00F207E8"/>
    <w:rsid w:val="00F214EE"/>
    <w:rsid w:val="00F226FE"/>
    <w:rsid w:val="00F23764"/>
    <w:rsid w:val="00F239DA"/>
    <w:rsid w:val="00F2629F"/>
    <w:rsid w:val="00F30181"/>
    <w:rsid w:val="00F30FD7"/>
    <w:rsid w:val="00F3326D"/>
    <w:rsid w:val="00F3655E"/>
    <w:rsid w:val="00F37124"/>
    <w:rsid w:val="00F40743"/>
    <w:rsid w:val="00F4300A"/>
    <w:rsid w:val="00F446EC"/>
    <w:rsid w:val="00F46706"/>
    <w:rsid w:val="00F4676D"/>
    <w:rsid w:val="00F479A9"/>
    <w:rsid w:val="00F47EC4"/>
    <w:rsid w:val="00F5288E"/>
    <w:rsid w:val="00F537B3"/>
    <w:rsid w:val="00F5404A"/>
    <w:rsid w:val="00F543F4"/>
    <w:rsid w:val="00F5510E"/>
    <w:rsid w:val="00F552E8"/>
    <w:rsid w:val="00F56797"/>
    <w:rsid w:val="00F568E7"/>
    <w:rsid w:val="00F57DCD"/>
    <w:rsid w:val="00F57E0C"/>
    <w:rsid w:val="00F61083"/>
    <w:rsid w:val="00F62B08"/>
    <w:rsid w:val="00F63E13"/>
    <w:rsid w:val="00F64E63"/>
    <w:rsid w:val="00F66EC9"/>
    <w:rsid w:val="00F70AB3"/>
    <w:rsid w:val="00F72067"/>
    <w:rsid w:val="00F72DF1"/>
    <w:rsid w:val="00F735F5"/>
    <w:rsid w:val="00F74B1D"/>
    <w:rsid w:val="00F75A16"/>
    <w:rsid w:val="00F766F6"/>
    <w:rsid w:val="00F77635"/>
    <w:rsid w:val="00F804D2"/>
    <w:rsid w:val="00F81BCE"/>
    <w:rsid w:val="00F8225A"/>
    <w:rsid w:val="00F82754"/>
    <w:rsid w:val="00F82FC8"/>
    <w:rsid w:val="00F8441E"/>
    <w:rsid w:val="00F86340"/>
    <w:rsid w:val="00F87028"/>
    <w:rsid w:val="00F929CE"/>
    <w:rsid w:val="00F929D6"/>
    <w:rsid w:val="00F93481"/>
    <w:rsid w:val="00F935D0"/>
    <w:rsid w:val="00F947C6"/>
    <w:rsid w:val="00F96B07"/>
    <w:rsid w:val="00F9728A"/>
    <w:rsid w:val="00F97D1E"/>
    <w:rsid w:val="00F97D89"/>
    <w:rsid w:val="00FA0A20"/>
    <w:rsid w:val="00FA1681"/>
    <w:rsid w:val="00FA4EB5"/>
    <w:rsid w:val="00FB034F"/>
    <w:rsid w:val="00FB34DF"/>
    <w:rsid w:val="00FB3F58"/>
    <w:rsid w:val="00FB44BB"/>
    <w:rsid w:val="00FB4CB3"/>
    <w:rsid w:val="00FB4D7A"/>
    <w:rsid w:val="00FB5641"/>
    <w:rsid w:val="00FC1828"/>
    <w:rsid w:val="00FC23FF"/>
    <w:rsid w:val="00FC4273"/>
    <w:rsid w:val="00FC46B3"/>
    <w:rsid w:val="00FC481E"/>
    <w:rsid w:val="00FC653E"/>
    <w:rsid w:val="00FC6E71"/>
    <w:rsid w:val="00FC7879"/>
    <w:rsid w:val="00FD12D0"/>
    <w:rsid w:val="00FD351C"/>
    <w:rsid w:val="00FD4562"/>
    <w:rsid w:val="00FD4753"/>
    <w:rsid w:val="00FD4777"/>
    <w:rsid w:val="00FD47C6"/>
    <w:rsid w:val="00FE10F0"/>
    <w:rsid w:val="00FE1295"/>
    <w:rsid w:val="00FE16DE"/>
    <w:rsid w:val="00FE1E66"/>
    <w:rsid w:val="00FE5CE3"/>
    <w:rsid w:val="00FE6E03"/>
    <w:rsid w:val="00FF2188"/>
    <w:rsid w:val="00FF2894"/>
    <w:rsid w:val="00FF3C38"/>
    <w:rsid w:val="00FF48BA"/>
    <w:rsid w:val="00FF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0" w:qFormat="1"/>
  </w:latentStyles>
  <w:style w:type="paragraph" w:default="1" w:styleId="Normal">
    <w:name w:val="Normal"/>
    <w:qFormat/>
    <w:rsid w:val="005A179E"/>
    <w:pPr>
      <w:spacing w:after="200" w:line="276" w:lineRule="auto"/>
    </w:pPr>
    <w:rPr>
      <w:sz w:val="22"/>
      <w:szCs w:val="22"/>
    </w:rPr>
  </w:style>
  <w:style w:type="paragraph" w:styleId="Heading1">
    <w:name w:val="heading 1"/>
    <w:basedOn w:val="Normal"/>
    <w:next w:val="Normal"/>
    <w:link w:val="Heading1Char"/>
    <w:autoRedefine/>
    <w:uiPriority w:val="99"/>
    <w:qFormat/>
    <w:rsid w:val="00CC7753"/>
    <w:pPr>
      <w:keepNext/>
      <w:keepLines/>
      <w:pageBreakBefore/>
      <w:numPr>
        <w:numId w:val="3"/>
      </w:numPr>
      <w:spacing w:before="360" w:after="240" w:line="240" w:lineRule="auto"/>
      <w:ind w:right="72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autoRedefine/>
    <w:uiPriority w:val="99"/>
    <w:qFormat/>
    <w:rsid w:val="005D1192"/>
    <w:pPr>
      <w:keepNext/>
      <w:keepLines/>
      <w:numPr>
        <w:ilvl w:val="1"/>
        <w:numId w:val="3"/>
      </w:numPr>
      <w:spacing w:before="360" w:after="240" w:line="240" w:lineRule="auto"/>
      <w:ind w:right="720" w:hanging="306"/>
      <w:outlineLvl w:val="1"/>
    </w:pPr>
    <w:rPr>
      <w:rFonts w:ascii="Cambria" w:eastAsia="Times New Roman" w:hAnsi="Cambria" w:cs="Calibri"/>
      <w:b/>
      <w:bCs/>
      <w:color w:val="4F81BD"/>
      <w:sz w:val="26"/>
      <w:szCs w:val="26"/>
    </w:rPr>
  </w:style>
  <w:style w:type="paragraph" w:styleId="Heading3">
    <w:name w:val="heading 3"/>
    <w:basedOn w:val="Normal"/>
    <w:next w:val="ListParagraph"/>
    <w:link w:val="Heading3Char"/>
    <w:autoRedefine/>
    <w:uiPriority w:val="99"/>
    <w:qFormat/>
    <w:rsid w:val="00CC7753"/>
    <w:pPr>
      <w:keepNext/>
      <w:keepLines/>
      <w:numPr>
        <w:ilvl w:val="2"/>
        <w:numId w:val="3"/>
      </w:numPr>
      <w:spacing w:before="240" w:line="240" w:lineRule="auto"/>
      <w:ind w:left="1440" w:right="720"/>
      <w:outlineLvl w:val="2"/>
    </w:pPr>
    <w:rPr>
      <w:rFonts w:ascii="Times New Roman" w:eastAsia="Times New Roman" w:hAnsi="Times New Roman"/>
      <w:b/>
      <w:bCs/>
      <w:color w:val="4F81BD"/>
      <w:sz w:val="24"/>
      <w:szCs w:val="24"/>
    </w:rPr>
  </w:style>
  <w:style w:type="paragraph" w:styleId="Heading4">
    <w:name w:val="heading 4"/>
    <w:basedOn w:val="Normal"/>
    <w:next w:val="ListParagraph"/>
    <w:link w:val="Heading4Char"/>
    <w:autoRedefine/>
    <w:uiPriority w:val="99"/>
    <w:qFormat/>
    <w:rsid w:val="00CA0389"/>
    <w:pPr>
      <w:keepNext/>
      <w:keepLines/>
      <w:numPr>
        <w:ilvl w:val="3"/>
        <w:numId w:val="3"/>
      </w:numPr>
      <w:tabs>
        <w:tab w:val="left" w:pos="2430"/>
      </w:tabs>
      <w:spacing w:before="200" w:after="0"/>
      <w:outlineLvl w:val="3"/>
    </w:pPr>
    <w:rPr>
      <w:rFonts w:ascii="Cambria" w:eastAsia="Times New Roman" w:hAnsi="Cambria"/>
      <w:b/>
      <w:bCs/>
      <w:iCs/>
      <w:color w:val="4F81BD"/>
    </w:rPr>
  </w:style>
  <w:style w:type="paragraph" w:styleId="Heading5">
    <w:name w:val="heading 5"/>
    <w:basedOn w:val="Normal"/>
    <w:next w:val="Normal"/>
    <w:link w:val="Heading5Char"/>
    <w:uiPriority w:val="99"/>
    <w:qFormat/>
    <w:rsid w:val="005462A1"/>
    <w:pPr>
      <w:keepNext/>
      <w:keepLines/>
      <w:numPr>
        <w:ilvl w:val="4"/>
        <w:numId w:val="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rsid w:val="005462A1"/>
    <w:pPr>
      <w:keepNext/>
      <w:keepLines/>
      <w:numPr>
        <w:ilvl w:val="5"/>
        <w:numId w:val="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rsid w:val="005462A1"/>
    <w:pPr>
      <w:keepNext/>
      <w:keepLines/>
      <w:numPr>
        <w:ilvl w:val="6"/>
        <w:numId w:val="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rsid w:val="005462A1"/>
    <w:pPr>
      <w:keepNext/>
      <w:keepLines/>
      <w:numPr>
        <w:ilvl w:val="7"/>
        <w:numId w:val="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rsid w:val="005462A1"/>
    <w:pPr>
      <w:keepNext/>
      <w:keepLines/>
      <w:numPr>
        <w:ilvl w:val="8"/>
        <w:numId w:val="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753"/>
    <w:rPr>
      <w:rFonts w:ascii="Times New Roman" w:eastAsia="Times New Roman" w:hAnsi="Times New Roman"/>
      <w:b/>
      <w:bCs/>
      <w:color w:val="365F91"/>
      <w:sz w:val="28"/>
      <w:szCs w:val="28"/>
    </w:rPr>
  </w:style>
  <w:style w:type="character" w:customStyle="1" w:styleId="Heading2Char">
    <w:name w:val="Heading 2 Char"/>
    <w:basedOn w:val="DefaultParagraphFont"/>
    <w:link w:val="Heading2"/>
    <w:uiPriority w:val="99"/>
    <w:locked/>
    <w:rsid w:val="005D1192"/>
    <w:rPr>
      <w:rFonts w:ascii="Cambria" w:eastAsia="Times New Roman" w:hAnsi="Cambria" w:cs="Calibri"/>
      <w:b/>
      <w:bCs/>
      <w:color w:val="4F81BD"/>
      <w:sz w:val="26"/>
      <w:szCs w:val="26"/>
    </w:rPr>
  </w:style>
  <w:style w:type="character" w:customStyle="1" w:styleId="Heading3Char">
    <w:name w:val="Heading 3 Char"/>
    <w:basedOn w:val="DefaultParagraphFont"/>
    <w:link w:val="Heading3"/>
    <w:uiPriority w:val="99"/>
    <w:locked/>
    <w:rsid w:val="00CC7753"/>
    <w:rPr>
      <w:rFonts w:ascii="Times New Roman" w:eastAsia="Times New Roman" w:hAnsi="Times New Roman"/>
      <w:b/>
      <w:bCs/>
      <w:color w:val="4F81BD"/>
      <w:sz w:val="24"/>
      <w:szCs w:val="24"/>
    </w:rPr>
  </w:style>
  <w:style w:type="character" w:customStyle="1" w:styleId="Heading4Char">
    <w:name w:val="Heading 4 Char"/>
    <w:basedOn w:val="DefaultParagraphFont"/>
    <w:link w:val="Heading4"/>
    <w:uiPriority w:val="99"/>
    <w:locked/>
    <w:rsid w:val="00CA0389"/>
    <w:rPr>
      <w:rFonts w:ascii="Cambria" w:eastAsia="Times New Roman" w:hAnsi="Cambria"/>
      <w:b/>
      <w:bCs/>
      <w:iCs/>
      <w:color w:val="4F81BD"/>
      <w:sz w:val="22"/>
      <w:szCs w:val="22"/>
    </w:rPr>
  </w:style>
  <w:style w:type="character" w:customStyle="1" w:styleId="Heading5Char">
    <w:name w:val="Heading 5 Char"/>
    <w:basedOn w:val="DefaultParagraphFont"/>
    <w:link w:val="Heading5"/>
    <w:uiPriority w:val="99"/>
    <w:locked/>
    <w:rsid w:val="005462A1"/>
    <w:rPr>
      <w:rFonts w:ascii="Cambria" w:eastAsia="Times New Roman" w:hAnsi="Cambria"/>
      <w:color w:val="243F60"/>
      <w:sz w:val="22"/>
      <w:szCs w:val="22"/>
    </w:rPr>
  </w:style>
  <w:style w:type="character" w:customStyle="1" w:styleId="Heading6Char">
    <w:name w:val="Heading 6 Char"/>
    <w:basedOn w:val="DefaultParagraphFont"/>
    <w:link w:val="Heading6"/>
    <w:uiPriority w:val="99"/>
    <w:locked/>
    <w:rsid w:val="005462A1"/>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9"/>
    <w:locked/>
    <w:rsid w:val="005462A1"/>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9"/>
    <w:locked/>
    <w:rsid w:val="005462A1"/>
    <w:rPr>
      <w:rFonts w:ascii="Cambria" w:eastAsia="Times New Roman" w:hAnsi="Cambria"/>
      <w:color w:val="404040"/>
    </w:rPr>
  </w:style>
  <w:style w:type="character" w:customStyle="1" w:styleId="Heading9Char">
    <w:name w:val="Heading 9 Char"/>
    <w:basedOn w:val="DefaultParagraphFont"/>
    <w:link w:val="Heading9"/>
    <w:uiPriority w:val="99"/>
    <w:locked/>
    <w:rsid w:val="005462A1"/>
    <w:rPr>
      <w:rFonts w:ascii="Cambria" w:eastAsia="Times New Roman" w:hAnsi="Cambria"/>
      <w:i/>
      <w:iCs/>
      <w:color w:val="404040"/>
    </w:rPr>
  </w:style>
  <w:style w:type="paragraph" w:styleId="Header">
    <w:name w:val="header"/>
    <w:basedOn w:val="Normal"/>
    <w:link w:val="HeaderChar"/>
    <w:uiPriority w:val="99"/>
    <w:rsid w:val="00675BF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75BFA"/>
    <w:rPr>
      <w:rFonts w:cs="Times New Roman"/>
    </w:rPr>
  </w:style>
  <w:style w:type="paragraph" w:styleId="Footer">
    <w:name w:val="footer"/>
    <w:basedOn w:val="Normal"/>
    <w:link w:val="FooterChar"/>
    <w:uiPriority w:val="99"/>
    <w:rsid w:val="00675B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75BFA"/>
    <w:rPr>
      <w:rFonts w:cs="Times New Roman"/>
    </w:rPr>
  </w:style>
  <w:style w:type="paragraph" w:styleId="BalloonText">
    <w:name w:val="Balloon Text"/>
    <w:basedOn w:val="Normal"/>
    <w:link w:val="BalloonTextChar"/>
    <w:uiPriority w:val="99"/>
    <w:semiHidden/>
    <w:rsid w:val="0067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5BFA"/>
    <w:rPr>
      <w:rFonts w:ascii="Tahoma" w:hAnsi="Tahoma" w:cs="Tahoma"/>
      <w:sz w:val="16"/>
      <w:szCs w:val="16"/>
    </w:rPr>
  </w:style>
  <w:style w:type="paragraph" w:styleId="Title">
    <w:name w:val="Title"/>
    <w:basedOn w:val="Normal"/>
    <w:next w:val="Normal"/>
    <w:link w:val="TitleChar"/>
    <w:uiPriority w:val="99"/>
    <w:rsid w:val="002C3F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C3FA8"/>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rsid w:val="002C3FA8"/>
    <w:pPr>
      <w:numPr>
        <w:ilvl w:val="1"/>
      </w:numPr>
    </w:pPr>
    <w:rPr>
      <w:rFonts w:ascii="Cambria" w:eastAsia="Times New Roman" w:hAnsi="Cambria"/>
      <w:i/>
      <w:iCs/>
      <w:color w:val="4F81BD"/>
      <w:spacing w:val="15"/>
      <w:sz w:val="36"/>
      <w:szCs w:val="24"/>
    </w:rPr>
  </w:style>
  <w:style w:type="character" w:customStyle="1" w:styleId="SubtitleChar">
    <w:name w:val="Subtitle Char"/>
    <w:basedOn w:val="DefaultParagraphFont"/>
    <w:link w:val="Subtitle"/>
    <w:uiPriority w:val="99"/>
    <w:locked/>
    <w:rsid w:val="002C3FA8"/>
    <w:rPr>
      <w:rFonts w:ascii="Cambria" w:hAnsi="Cambria" w:cs="Times New Roman"/>
      <w:i/>
      <w:iCs/>
      <w:color w:val="4F81BD"/>
      <w:spacing w:val="15"/>
      <w:sz w:val="24"/>
      <w:szCs w:val="24"/>
    </w:rPr>
  </w:style>
  <w:style w:type="character" w:styleId="SubtleEmphasis">
    <w:name w:val="Subtle Emphasis"/>
    <w:basedOn w:val="DefaultParagraphFont"/>
    <w:uiPriority w:val="99"/>
    <w:rsid w:val="002C3FA8"/>
    <w:rPr>
      <w:rFonts w:cs="Times New Roman"/>
      <w:i/>
      <w:iCs/>
      <w:color w:val="808080"/>
    </w:rPr>
  </w:style>
  <w:style w:type="paragraph" w:styleId="NoSpacing">
    <w:name w:val="No Spacing"/>
    <w:uiPriority w:val="1"/>
    <w:qFormat/>
    <w:rsid w:val="00EB2743"/>
    <w:rPr>
      <w:sz w:val="22"/>
      <w:szCs w:val="22"/>
    </w:rPr>
  </w:style>
  <w:style w:type="table" w:styleId="TableGrid">
    <w:name w:val="Table Grid"/>
    <w:basedOn w:val="TableNormal"/>
    <w:uiPriority w:val="59"/>
    <w:rsid w:val="00EB27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qFormat/>
    <w:rsid w:val="003152A5"/>
    <w:pPr>
      <w:pageBreakBefore w:val="0"/>
      <w:numPr>
        <w:numId w:val="0"/>
      </w:numPr>
      <w:spacing w:before="480"/>
      <w:outlineLvl w:val="9"/>
    </w:pPr>
  </w:style>
  <w:style w:type="paragraph" w:styleId="NormalWeb">
    <w:name w:val="Normal (Web)"/>
    <w:basedOn w:val="Normal"/>
    <w:uiPriority w:val="99"/>
    <w:rsid w:val="00E924B5"/>
    <w:pPr>
      <w:spacing w:after="75" w:line="225" w:lineRule="atLeast"/>
    </w:pPr>
    <w:rPr>
      <w:rFonts w:ascii="Trebuchet MS" w:eastAsia="Times New Roman" w:hAnsi="Trebuchet MS"/>
      <w:color w:val="A47B5F"/>
      <w:sz w:val="17"/>
      <w:szCs w:val="17"/>
    </w:rPr>
  </w:style>
  <w:style w:type="paragraph" w:styleId="Quote">
    <w:name w:val="Quote"/>
    <w:basedOn w:val="Normal"/>
    <w:next w:val="Normal"/>
    <w:link w:val="QuoteChar"/>
    <w:uiPriority w:val="99"/>
    <w:rsid w:val="00E924B5"/>
    <w:rPr>
      <w:i/>
      <w:iCs/>
      <w:color w:val="000000"/>
    </w:rPr>
  </w:style>
  <w:style w:type="character" w:customStyle="1" w:styleId="QuoteChar">
    <w:name w:val="Quote Char"/>
    <w:basedOn w:val="DefaultParagraphFont"/>
    <w:link w:val="Quote"/>
    <w:uiPriority w:val="99"/>
    <w:locked/>
    <w:rsid w:val="00E924B5"/>
    <w:rPr>
      <w:rFonts w:cs="Times New Roman"/>
      <w:i/>
      <w:iCs/>
      <w:color w:val="000000"/>
    </w:rPr>
  </w:style>
  <w:style w:type="paragraph" w:styleId="IntenseQuote">
    <w:name w:val="Intense Quote"/>
    <w:basedOn w:val="Normal"/>
    <w:next w:val="Normal"/>
    <w:link w:val="IntenseQuoteChar"/>
    <w:uiPriority w:val="99"/>
    <w:rsid w:val="00E924B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E924B5"/>
    <w:rPr>
      <w:rFonts w:cs="Times New Roman"/>
      <w:b/>
      <w:bCs/>
      <w:i/>
      <w:iCs/>
      <w:color w:val="4F81BD"/>
    </w:rPr>
  </w:style>
  <w:style w:type="paragraph" w:styleId="ListParagraph">
    <w:name w:val="List Paragraph"/>
    <w:basedOn w:val="Normal"/>
    <w:link w:val="ListParagraphChar"/>
    <w:uiPriority w:val="34"/>
    <w:qFormat/>
    <w:rsid w:val="005462A1"/>
    <w:pPr>
      <w:ind w:left="720"/>
      <w:contextualSpacing/>
    </w:pPr>
  </w:style>
  <w:style w:type="paragraph" w:styleId="BodyText">
    <w:name w:val="Body Text"/>
    <w:basedOn w:val="Normal"/>
    <w:link w:val="BodyTextChar"/>
    <w:uiPriority w:val="99"/>
    <w:rsid w:val="005462A1"/>
    <w:pPr>
      <w:spacing w:after="120"/>
    </w:pPr>
  </w:style>
  <w:style w:type="character" w:customStyle="1" w:styleId="BodyTextChar">
    <w:name w:val="Body Text Char"/>
    <w:basedOn w:val="DefaultParagraphFont"/>
    <w:link w:val="BodyText"/>
    <w:uiPriority w:val="99"/>
    <w:locked/>
    <w:rsid w:val="005462A1"/>
    <w:rPr>
      <w:rFonts w:cs="Times New Roman"/>
    </w:rPr>
  </w:style>
  <w:style w:type="paragraph" w:styleId="BodyTextFirstIndent">
    <w:name w:val="Body Text First Indent"/>
    <w:basedOn w:val="BodyText"/>
    <w:link w:val="BodyTextFirstIndentChar"/>
    <w:uiPriority w:val="99"/>
    <w:semiHidden/>
    <w:rsid w:val="005462A1"/>
    <w:pPr>
      <w:spacing w:after="200"/>
      <w:ind w:firstLine="360"/>
    </w:pPr>
  </w:style>
  <w:style w:type="character" w:customStyle="1" w:styleId="BodyTextFirstIndentChar">
    <w:name w:val="Body Text First Indent Char"/>
    <w:basedOn w:val="BodyTextChar"/>
    <w:link w:val="BodyTextFirstIndent"/>
    <w:uiPriority w:val="99"/>
    <w:semiHidden/>
    <w:locked/>
    <w:rsid w:val="005462A1"/>
  </w:style>
  <w:style w:type="paragraph" w:styleId="TOC1">
    <w:name w:val="toc 1"/>
    <w:basedOn w:val="Normal"/>
    <w:next w:val="Normal"/>
    <w:autoRedefine/>
    <w:uiPriority w:val="39"/>
    <w:rsid w:val="005F4784"/>
    <w:pPr>
      <w:tabs>
        <w:tab w:val="left" w:pos="360"/>
        <w:tab w:val="right" w:leader="dot" w:pos="9350"/>
      </w:tabs>
      <w:spacing w:after="100"/>
      <w:jc w:val="center"/>
    </w:pPr>
    <w:rPr>
      <w:rFonts w:ascii="Times New Roman Bold" w:hAnsi="Times New Roman Bold"/>
      <w:b/>
      <w:smallCaps/>
    </w:rPr>
  </w:style>
  <w:style w:type="paragraph" w:styleId="TOC2">
    <w:name w:val="toc 2"/>
    <w:basedOn w:val="Normal"/>
    <w:next w:val="Normal"/>
    <w:autoRedefine/>
    <w:uiPriority w:val="39"/>
    <w:rsid w:val="005F4784"/>
    <w:pPr>
      <w:tabs>
        <w:tab w:val="left" w:pos="900"/>
        <w:tab w:val="right" w:leader="dot" w:pos="9350"/>
      </w:tabs>
      <w:spacing w:after="100"/>
      <w:ind w:left="360"/>
      <w:jc w:val="center"/>
    </w:pPr>
    <w:rPr>
      <w:rFonts w:ascii="Times New Roman" w:hAnsi="Times New Roman"/>
    </w:rPr>
  </w:style>
  <w:style w:type="paragraph" w:styleId="TOC3">
    <w:name w:val="toc 3"/>
    <w:basedOn w:val="Normal"/>
    <w:next w:val="Normal"/>
    <w:autoRedefine/>
    <w:uiPriority w:val="39"/>
    <w:rsid w:val="00940EC3"/>
    <w:pPr>
      <w:tabs>
        <w:tab w:val="left" w:pos="1620"/>
        <w:tab w:val="right" w:leader="dot" w:pos="9350"/>
      </w:tabs>
      <w:spacing w:after="100"/>
      <w:ind w:left="1627" w:hanging="720"/>
    </w:pPr>
    <w:rPr>
      <w:rFonts w:ascii="Times New Roman" w:hAnsi="Times New Roman"/>
      <w:i/>
    </w:rPr>
  </w:style>
  <w:style w:type="character" w:styleId="Hyperlink">
    <w:name w:val="Hyperlink"/>
    <w:basedOn w:val="DefaultParagraphFont"/>
    <w:uiPriority w:val="99"/>
    <w:rsid w:val="005462A1"/>
    <w:rPr>
      <w:rFonts w:cs="Times New Roman"/>
      <w:color w:val="0000FF"/>
      <w:u w:val="single"/>
    </w:rPr>
  </w:style>
  <w:style w:type="paragraph" w:customStyle="1" w:styleId="Appendix1">
    <w:name w:val="Appendix 1"/>
    <w:basedOn w:val="Normal"/>
    <w:next w:val="Normal"/>
    <w:link w:val="Appendix1Char"/>
    <w:autoRedefine/>
    <w:uiPriority w:val="99"/>
    <w:rsid w:val="00DD406D"/>
    <w:pPr>
      <w:pageBreakBefore/>
      <w:numPr>
        <w:numId w:val="1"/>
      </w:numPr>
      <w:outlineLvl w:val="0"/>
    </w:pPr>
    <w:rPr>
      <w:rFonts w:ascii="Cambria" w:hAnsi="Cambria"/>
      <w:b/>
      <w:color w:val="365F91"/>
      <w:sz w:val="28"/>
      <w:szCs w:val="28"/>
    </w:rPr>
  </w:style>
  <w:style w:type="paragraph" w:customStyle="1" w:styleId="Appendix2">
    <w:name w:val="Appendix 2"/>
    <w:basedOn w:val="Heading2"/>
    <w:next w:val="Normal"/>
    <w:link w:val="Appendix2Char"/>
    <w:autoRedefine/>
    <w:uiPriority w:val="99"/>
    <w:rsid w:val="007D139D"/>
    <w:pPr>
      <w:numPr>
        <w:ilvl w:val="0"/>
        <w:numId w:val="0"/>
      </w:numPr>
    </w:pPr>
  </w:style>
  <w:style w:type="character" w:customStyle="1" w:styleId="Appendix1Char">
    <w:name w:val="Appendix 1 Char"/>
    <w:basedOn w:val="Heading1Char"/>
    <w:link w:val="Appendix1"/>
    <w:uiPriority w:val="99"/>
    <w:locked/>
    <w:rsid w:val="00DD406D"/>
    <w:rPr>
      <w:rFonts w:ascii="Cambria" w:hAnsi="Cambria"/>
    </w:rPr>
  </w:style>
  <w:style w:type="character" w:customStyle="1" w:styleId="Appendix2Char">
    <w:name w:val="Appendix 2 Char"/>
    <w:basedOn w:val="Heading2Char"/>
    <w:link w:val="Appendix2"/>
    <w:uiPriority w:val="99"/>
    <w:locked/>
    <w:rsid w:val="007D139D"/>
  </w:style>
  <w:style w:type="paragraph" w:customStyle="1" w:styleId="Appendix3">
    <w:name w:val="Appendix 3"/>
    <w:basedOn w:val="Heading3"/>
    <w:next w:val="Normal"/>
    <w:uiPriority w:val="99"/>
    <w:rsid w:val="00DD406D"/>
    <w:pPr>
      <w:numPr>
        <w:ilvl w:val="0"/>
        <w:numId w:val="0"/>
      </w:numPr>
    </w:pPr>
  </w:style>
  <w:style w:type="paragraph" w:customStyle="1" w:styleId="ListOutline">
    <w:name w:val="List Outline"/>
    <w:uiPriority w:val="99"/>
    <w:rsid w:val="007D139D"/>
    <w:pPr>
      <w:numPr>
        <w:numId w:val="2"/>
      </w:numPr>
      <w:tabs>
        <w:tab w:val="left" w:pos="720"/>
        <w:tab w:val="left" w:pos="1224"/>
        <w:tab w:val="left" w:pos="1584"/>
      </w:tabs>
      <w:spacing w:after="60"/>
      <w:jc w:val="both"/>
    </w:pPr>
    <w:rPr>
      <w:rFonts w:ascii="Times New Roman" w:eastAsia="Times New Roman" w:hAnsi="Times New Roman"/>
      <w:sz w:val="24"/>
    </w:rPr>
  </w:style>
  <w:style w:type="paragraph" w:customStyle="1" w:styleId="ParagraphText">
    <w:name w:val="Paragraph Text"/>
    <w:link w:val="ParagraphTextChar"/>
    <w:rsid w:val="007D139D"/>
    <w:pPr>
      <w:spacing w:after="160"/>
      <w:jc w:val="both"/>
    </w:pPr>
    <w:rPr>
      <w:rFonts w:ascii="Times New Roman" w:eastAsia="Times New Roman" w:hAnsi="Times New Roman"/>
      <w:sz w:val="24"/>
    </w:rPr>
  </w:style>
  <w:style w:type="paragraph" w:styleId="Caption">
    <w:name w:val="caption"/>
    <w:basedOn w:val="Normal"/>
    <w:next w:val="Normal"/>
    <w:autoRedefine/>
    <w:uiPriority w:val="35"/>
    <w:qFormat/>
    <w:rsid w:val="00D73AF1"/>
    <w:pPr>
      <w:keepNext/>
      <w:keepLines/>
      <w:widowControl w:val="0"/>
      <w:tabs>
        <w:tab w:val="left" w:pos="4500"/>
      </w:tabs>
      <w:spacing w:after="60" w:line="240" w:lineRule="atLeast"/>
      <w:jc w:val="center"/>
    </w:pPr>
    <w:rPr>
      <w:rFonts w:ascii="Times New Roman" w:eastAsia="Times New Roman" w:hAnsi="Times New Roman"/>
      <w:b/>
      <w:sz w:val="20"/>
      <w:szCs w:val="20"/>
    </w:rPr>
  </w:style>
  <w:style w:type="paragraph" w:customStyle="1" w:styleId="TableText">
    <w:name w:val="Table Text"/>
    <w:basedOn w:val="Normal"/>
    <w:link w:val="TableTextChar"/>
    <w:rsid w:val="007D139D"/>
    <w:pPr>
      <w:keepNext/>
      <w:keepLines/>
      <w:spacing w:before="60" w:after="120" w:line="240" w:lineRule="auto"/>
      <w:ind w:left="144"/>
    </w:pPr>
    <w:rPr>
      <w:rFonts w:ascii="Arial" w:eastAsia="Times New Roman" w:hAnsi="Arial"/>
      <w:sz w:val="20"/>
      <w:szCs w:val="20"/>
    </w:rPr>
  </w:style>
  <w:style w:type="character" w:customStyle="1" w:styleId="TableTextChar">
    <w:name w:val="Table Text Char"/>
    <w:basedOn w:val="DefaultParagraphFont"/>
    <w:link w:val="TableText"/>
    <w:locked/>
    <w:rsid w:val="007D139D"/>
    <w:rPr>
      <w:rFonts w:ascii="Arial" w:hAnsi="Arial" w:cs="Times New Roman"/>
      <w:sz w:val="20"/>
      <w:szCs w:val="20"/>
    </w:rPr>
  </w:style>
  <w:style w:type="character" w:styleId="CommentReference">
    <w:name w:val="annotation reference"/>
    <w:basedOn w:val="DefaultParagraphFont"/>
    <w:uiPriority w:val="99"/>
    <w:semiHidden/>
    <w:rsid w:val="00880534"/>
    <w:rPr>
      <w:rFonts w:cs="Times New Roman"/>
      <w:sz w:val="16"/>
      <w:szCs w:val="16"/>
    </w:rPr>
  </w:style>
  <w:style w:type="paragraph" w:styleId="CommentText">
    <w:name w:val="annotation text"/>
    <w:basedOn w:val="Normal"/>
    <w:link w:val="CommentTextChar"/>
    <w:uiPriority w:val="99"/>
    <w:semiHidden/>
    <w:rsid w:val="0088053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80534"/>
    <w:rPr>
      <w:rFonts w:cs="Times New Roman"/>
      <w:sz w:val="20"/>
      <w:szCs w:val="20"/>
    </w:rPr>
  </w:style>
  <w:style w:type="paragraph" w:styleId="CommentSubject">
    <w:name w:val="annotation subject"/>
    <w:basedOn w:val="CommentText"/>
    <w:next w:val="CommentText"/>
    <w:link w:val="CommentSubjectChar"/>
    <w:uiPriority w:val="99"/>
    <w:semiHidden/>
    <w:rsid w:val="00880534"/>
    <w:rPr>
      <w:b/>
      <w:bCs/>
    </w:rPr>
  </w:style>
  <w:style w:type="character" w:customStyle="1" w:styleId="CommentSubjectChar">
    <w:name w:val="Comment Subject Char"/>
    <w:basedOn w:val="CommentTextChar"/>
    <w:link w:val="CommentSubject"/>
    <w:uiPriority w:val="99"/>
    <w:semiHidden/>
    <w:locked/>
    <w:rsid w:val="00880534"/>
    <w:rPr>
      <w:b/>
      <w:bCs/>
    </w:rPr>
  </w:style>
  <w:style w:type="paragraph" w:customStyle="1" w:styleId="Body">
    <w:name w:val="Body"/>
    <w:basedOn w:val="Normal"/>
    <w:link w:val="BodyChar"/>
    <w:uiPriority w:val="99"/>
    <w:rsid w:val="00426B13"/>
    <w:pPr>
      <w:spacing w:before="120" w:after="120" w:line="240" w:lineRule="auto"/>
      <w:ind w:left="720"/>
      <w:jc w:val="both"/>
    </w:pPr>
    <w:rPr>
      <w:rFonts w:ascii="Arial" w:eastAsia="Times New Roman" w:hAnsi="Arial"/>
      <w:sz w:val="24"/>
      <w:szCs w:val="24"/>
    </w:rPr>
  </w:style>
  <w:style w:type="character" w:customStyle="1" w:styleId="BodyChar">
    <w:name w:val="Body Char"/>
    <w:basedOn w:val="DefaultParagraphFont"/>
    <w:link w:val="Body"/>
    <w:uiPriority w:val="99"/>
    <w:locked/>
    <w:rsid w:val="00426B13"/>
    <w:rPr>
      <w:rFonts w:ascii="Arial" w:hAnsi="Arial" w:cs="Times New Roman"/>
      <w:sz w:val="24"/>
      <w:szCs w:val="24"/>
    </w:rPr>
  </w:style>
  <w:style w:type="paragraph" w:styleId="BodyTextIndent">
    <w:name w:val="Body Text Indent"/>
    <w:basedOn w:val="Normal"/>
    <w:link w:val="BodyTextIndentChar"/>
    <w:uiPriority w:val="99"/>
    <w:rsid w:val="00C20C0D"/>
    <w:pPr>
      <w:spacing w:after="120" w:line="240" w:lineRule="auto"/>
      <w:ind w:left="360"/>
    </w:pPr>
    <w:rPr>
      <w:rFonts w:ascii="Arial" w:eastAsia="Times New Roman" w:hAnsi="Arial" w:cs="Arial"/>
      <w:color w:val="000000"/>
      <w:szCs w:val="24"/>
    </w:rPr>
  </w:style>
  <w:style w:type="character" w:customStyle="1" w:styleId="BodyTextIndentChar">
    <w:name w:val="Body Text Indent Char"/>
    <w:basedOn w:val="DefaultParagraphFont"/>
    <w:link w:val="BodyTextIndent"/>
    <w:uiPriority w:val="99"/>
    <w:locked/>
    <w:rsid w:val="00C20C0D"/>
    <w:rPr>
      <w:rFonts w:ascii="Arial" w:hAnsi="Arial" w:cs="Arial"/>
      <w:color w:val="000000"/>
      <w:sz w:val="24"/>
      <w:szCs w:val="24"/>
    </w:rPr>
  </w:style>
  <w:style w:type="paragraph" w:styleId="BodyText2">
    <w:name w:val="Body Text 2"/>
    <w:basedOn w:val="Normal"/>
    <w:link w:val="BodyText2Char"/>
    <w:uiPriority w:val="99"/>
    <w:rsid w:val="00DF761C"/>
    <w:pPr>
      <w:spacing w:after="120" w:line="480" w:lineRule="auto"/>
    </w:pPr>
  </w:style>
  <w:style w:type="character" w:customStyle="1" w:styleId="BodyText2Char">
    <w:name w:val="Body Text 2 Char"/>
    <w:basedOn w:val="DefaultParagraphFont"/>
    <w:link w:val="BodyText2"/>
    <w:uiPriority w:val="99"/>
    <w:semiHidden/>
    <w:locked/>
    <w:rsid w:val="00DF761C"/>
    <w:rPr>
      <w:rFonts w:cs="Times New Roman"/>
    </w:rPr>
  </w:style>
  <w:style w:type="paragraph" w:customStyle="1" w:styleId="TableTextHeading">
    <w:name w:val="Table Text Heading"/>
    <w:basedOn w:val="Normal"/>
    <w:uiPriority w:val="99"/>
    <w:rsid w:val="00DF761C"/>
    <w:pPr>
      <w:spacing w:before="120" w:after="80" w:line="240" w:lineRule="auto"/>
      <w:ind w:left="432"/>
    </w:pPr>
    <w:rPr>
      <w:rFonts w:ascii="Arial" w:eastAsia="Times New Roman" w:hAnsi="Arial"/>
      <w:b/>
      <w:spacing w:val="-5"/>
      <w:sz w:val="20"/>
      <w:szCs w:val="20"/>
    </w:rPr>
  </w:style>
  <w:style w:type="paragraph" w:customStyle="1" w:styleId="Style1">
    <w:name w:val="Style1"/>
    <w:basedOn w:val="Normal"/>
    <w:uiPriority w:val="99"/>
    <w:rsid w:val="00DF761C"/>
    <w:pPr>
      <w:spacing w:after="0" w:line="240" w:lineRule="auto"/>
    </w:pPr>
    <w:rPr>
      <w:rFonts w:ascii="Arial" w:eastAsia="Times New Roman" w:hAnsi="Arial"/>
      <w:sz w:val="24"/>
      <w:szCs w:val="20"/>
    </w:rPr>
  </w:style>
  <w:style w:type="paragraph" w:styleId="BodyText3">
    <w:name w:val="Body Text 3"/>
    <w:basedOn w:val="Normal"/>
    <w:link w:val="BodyText3Char"/>
    <w:uiPriority w:val="99"/>
    <w:rsid w:val="00947E5A"/>
    <w:pPr>
      <w:spacing w:after="0" w:line="240" w:lineRule="auto"/>
      <w:jc w:val="center"/>
    </w:pPr>
    <w:rPr>
      <w:rFonts w:ascii="Arial" w:eastAsia="Times New Roman" w:hAnsi="Arial" w:cs="Arial"/>
      <w:i/>
      <w:iCs/>
      <w:color w:val="000000"/>
      <w:szCs w:val="24"/>
    </w:rPr>
  </w:style>
  <w:style w:type="character" w:customStyle="1" w:styleId="BodyText3Char">
    <w:name w:val="Body Text 3 Char"/>
    <w:basedOn w:val="DefaultParagraphFont"/>
    <w:link w:val="BodyText3"/>
    <w:uiPriority w:val="99"/>
    <w:locked/>
    <w:rsid w:val="00947E5A"/>
    <w:rPr>
      <w:rFonts w:ascii="Arial" w:hAnsi="Arial" w:cs="Arial"/>
      <w:i/>
      <w:iCs/>
      <w:color w:val="000000"/>
      <w:sz w:val="24"/>
      <w:szCs w:val="24"/>
    </w:rPr>
  </w:style>
  <w:style w:type="paragraph" w:styleId="BodyTextIndent2">
    <w:name w:val="Body Text Indent 2"/>
    <w:basedOn w:val="Normal"/>
    <w:link w:val="BodyTextIndent2Char"/>
    <w:uiPriority w:val="99"/>
    <w:semiHidden/>
    <w:rsid w:val="006946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694632"/>
    <w:rPr>
      <w:rFonts w:cs="Times New Roman"/>
    </w:rPr>
  </w:style>
  <w:style w:type="paragraph" w:styleId="TableofFigures">
    <w:name w:val="table of figures"/>
    <w:basedOn w:val="Normal"/>
    <w:next w:val="Normal"/>
    <w:uiPriority w:val="99"/>
    <w:rsid w:val="005F4784"/>
    <w:pPr>
      <w:spacing w:after="0"/>
    </w:pPr>
    <w:rPr>
      <w:rFonts w:ascii="Times New Roman" w:hAnsi="Times New Roman"/>
    </w:rPr>
  </w:style>
  <w:style w:type="paragraph" w:styleId="BodyTextIndent3">
    <w:name w:val="Body Text Indent 3"/>
    <w:basedOn w:val="Normal"/>
    <w:link w:val="BodyTextIndent3Char"/>
    <w:uiPriority w:val="99"/>
    <w:semiHidden/>
    <w:rsid w:val="00824C67"/>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824C67"/>
    <w:rPr>
      <w:rFonts w:cs="Times New Roman"/>
      <w:sz w:val="16"/>
      <w:szCs w:val="16"/>
    </w:rPr>
  </w:style>
  <w:style w:type="paragraph" w:customStyle="1" w:styleId="TableRow">
    <w:name w:val="TableRow"/>
    <w:basedOn w:val="Normal"/>
    <w:link w:val="TableRowChar"/>
    <w:uiPriority w:val="99"/>
    <w:rsid w:val="008276C4"/>
    <w:pPr>
      <w:spacing w:before="60" w:after="0" w:line="240" w:lineRule="auto"/>
    </w:pPr>
    <w:rPr>
      <w:rFonts w:ascii="Times New Roman" w:eastAsia="Times New Roman" w:hAnsi="Times New Roman"/>
      <w:sz w:val="24"/>
      <w:szCs w:val="24"/>
    </w:rPr>
  </w:style>
  <w:style w:type="character" w:customStyle="1" w:styleId="TableRowChar">
    <w:name w:val="TableRow Char"/>
    <w:basedOn w:val="DefaultParagraphFont"/>
    <w:link w:val="TableRow"/>
    <w:uiPriority w:val="99"/>
    <w:locked/>
    <w:rsid w:val="008276C4"/>
    <w:rPr>
      <w:rFonts w:ascii="Times New Roman" w:hAnsi="Times New Roman" w:cs="Times New Roman"/>
      <w:sz w:val="24"/>
      <w:szCs w:val="24"/>
    </w:rPr>
  </w:style>
  <w:style w:type="paragraph" w:customStyle="1" w:styleId="Default">
    <w:name w:val="Default"/>
    <w:rsid w:val="0064202A"/>
    <w:pPr>
      <w:autoSpaceDE w:val="0"/>
      <w:autoSpaceDN w:val="0"/>
      <w:adjustRightInd w:val="0"/>
    </w:pPr>
    <w:rPr>
      <w:rFonts w:ascii="Times New Roman" w:hAnsi="Times New Roman"/>
      <w:color w:val="000000"/>
      <w:sz w:val="24"/>
      <w:szCs w:val="24"/>
    </w:rPr>
  </w:style>
  <w:style w:type="character" w:styleId="Strong">
    <w:name w:val="Strong"/>
    <w:basedOn w:val="DefaultParagraphFont"/>
    <w:qFormat/>
    <w:rsid w:val="001E3D92"/>
    <w:rPr>
      <w:b/>
      <w:bCs/>
    </w:rPr>
  </w:style>
  <w:style w:type="paragraph" w:customStyle="1" w:styleId="BASICBody">
    <w:name w:val="BASIC Body"/>
    <w:basedOn w:val="Normal"/>
    <w:link w:val="BASICBodyChar"/>
    <w:rsid w:val="00922251"/>
    <w:pPr>
      <w:spacing w:line="264" w:lineRule="auto"/>
    </w:pPr>
    <w:rPr>
      <w:rFonts w:ascii="Times New Roman" w:eastAsia="Times New Roman" w:hAnsi="Times New Roman"/>
      <w:szCs w:val="24"/>
    </w:rPr>
  </w:style>
  <w:style w:type="character" w:customStyle="1" w:styleId="BASICBodyChar">
    <w:name w:val="BASIC Body Char"/>
    <w:basedOn w:val="DefaultParagraphFont"/>
    <w:link w:val="BASICBody"/>
    <w:rsid w:val="00922251"/>
    <w:rPr>
      <w:rFonts w:ascii="Times New Roman" w:eastAsia="Times New Roman" w:hAnsi="Times New Roman"/>
      <w:sz w:val="22"/>
      <w:szCs w:val="24"/>
    </w:rPr>
  </w:style>
  <w:style w:type="character" w:customStyle="1" w:styleId="BASICChEmphasizedText">
    <w:name w:val="BASIC Ch Emphasized Text"/>
    <w:rsid w:val="00A14556"/>
    <w:rPr>
      <w:b/>
      <w:color w:val="2895D5"/>
    </w:rPr>
  </w:style>
  <w:style w:type="character" w:styleId="Emphasis">
    <w:name w:val="Emphasis"/>
    <w:basedOn w:val="DefaultParagraphFont"/>
    <w:rsid w:val="00F40743"/>
    <w:rPr>
      <w:i/>
      <w:iCs/>
    </w:rPr>
  </w:style>
  <w:style w:type="paragraph" w:customStyle="1" w:styleId="BodySingleSp5J">
    <w:name w:val="Body Single Sp .5 J"/>
    <w:basedOn w:val="Normal"/>
    <w:rsid w:val="00FD4753"/>
    <w:pPr>
      <w:spacing w:after="240" w:line="240" w:lineRule="auto"/>
      <w:ind w:firstLine="720"/>
      <w:jc w:val="both"/>
    </w:pPr>
    <w:rPr>
      <w:rFonts w:ascii="Times New Roman" w:eastAsia="Times New Roman" w:hAnsi="Times New Roman"/>
      <w:sz w:val="24"/>
      <w:szCs w:val="20"/>
    </w:rPr>
  </w:style>
  <w:style w:type="paragraph" w:customStyle="1" w:styleId="Style2">
    <w:name w:val="Style2"/>
    <w:basedOn w:val="Normal"/>
    <w:uiPriority w:val="99"/>
    <w:rsid w:val="00C71528"/>
    <w:pPr>
      <w:numPr>
        <w:ilvl w:val="2"/>
        <w:numId w:val="4"/>
      </w:numPr>
      <w:spacing w:after="0" w:line="240" w:lineRule="auto"/>
    </w:pPr>
    <w:rPr>
      <w:rFonts w:ascii="Arial" w:eastAsia="Times New Roman" w:hAnsi="Arial" w:cs="Arial"/>
      <w:sz w:val="24"/>
      <w:szCs w:val="24"/>
    </w:rPr>
  </w:style>
  <w:style w:type="paragraph" w:customStyle="1" w:styleId="Bullet1">
    <w:name w:val="Bullet 1"/>
    <w:basedOn w:val="ParagraphText"/>
    <w:link w:val="Bullet1Char"/>
    <w:qFormat/>
    <w:rsid w:val="00F5288E"/>
    <w:pPr>
      <w:numPr>
        <w:numId w:val="5"/>
      </w:numPr>
      <w:spacing w:before="120" w:after="120"/>
      <w:ind w:right="720"/>
    </w:pPr>
    <w:rPr>
      <w:sz w:val="22"/>
      <w:szCs w:val="22"/>
    </w:rPr>
  </w:style>
  <w:style w:type="character" w:customStyle="1" w:styleId="ParagraphTextChar">
    <w:name w:val="Paragraph Text Char"/>
    <w:basedOn w:val="DefaultParagraphFont"/>
    <w:link w:val="ParagraphText"/>
    <w:rsid w:val="00F5288E"/>
    <w:rPr>
      <w:rFonts w:ascii="Times New Roman" w:eastAsia="Times New Roman" w:hAnsi="Times New Roman"/>
      <w:sz w:val="24"/>
    </w:rPr>
  </w:style>
  <w:style w:type="paragraph" w:customStyle="1" w:styleId="Bullet2">
    <w:name w:val="Bullet 2"/>
    <w:basedOn w:val="ParagraphText"/>
    <w:link w:val="Bullet2Char"/>
    <w:qFormat/>
    <w:rsid w:val="00F5288E"/>
    <w:pPr>
      <w:numPr>
        <w:ilvl w:val="1"/>
        <w:numId w:val="5"/>
      </w:numPr>
      <w:spacing w:before="120" w:after="120"/>
      <w:ind w:left="1080" w:right="720"/>
    </w:pPr>
    <w:rPr>
      <w:rFonts w:eastAsia="Calibri"/>
      <w:sz w:val="22"/>
      <w:szCs w:val="22"/>
    </w:rPr>
  </w:style>
  <w:style w:type="character" w:customStyle="1" w:styleId="Bullet1Char">
    <w:name w:val="Bullet 1 Char"/>
    <w:basedOn w:val="ParagraphTextChar"/>
    <w:link w:val="Bullet1"/>
    <w:rsid w:val="00F5288E"/>
    <w:rPr>
      <w:sz w:val="22"/>
      <w:szCs w:val="22"/>
    </w:rPr>
  </w:style>
  <w:style w:type="paragraph" w:customStyle="1" w:styleId="Bullet3">
    <w:name w:val="Bullet 3"/>
    <w:basedOn w:val="ParagraphText"/>
    <w:qFormat/>
    <w:rsid w:val="00F5288E"/>
    <w:pPr>
      <w:numPr>
        <w:ilvl w:val="2"/>
        <w:numId w:val="5"/>
      </w:numPr>
      <w:spacing w:before="120" w:after="120"/>
      <w:ind w:left="1440"/>
    </w:pPr>
    <w:rPr>
      <w:rFonts w:eastAsia="Calibri"/>
      <w:sz w:val="22"/>
      <w:szCs w:val="22"/>
    </w:rPr>
  </w:style>
  <w:style w:type="character" w:customStyle="1" w:styleId="Bullet2Char">
    <w:name w:val="Bullet 2 Char"/>
    <w:basedOn w:val="ParagraphTextChar"/>
    <w:link w:val="Bullet2"/>
    <w:rsid w:val="00F5288E"/>
    <w:rPr>
      <w:sz w:val="22"/>
      <w:szCs w:val="22"/>
    </w:rPr>
  </w:style>
  <w:style w:type="paragraph" w:styleId="FootnoteText">
    <w:name w:val="footnote text"/>
    <w:basedOn w:val="Normal"/>
    <w:link w:val="FootnoteTextChar"/>
    <w:uiPriority w:val="99"/>
    <w:semiHidden/>
    <w:unhideWhenUsed/>
    <w:locked/>
    <w:rsid w:val="00F5288E"/>
    <w:rPr>
      <w:sz w:val="20"/>
      <w:szCs w:val="20"/>
    </w:rPr>
  </w:style>
  <w:style w:type="character" w:customStyle="1" w:styleId="FootnoteTextChar">
    <w:name w:val="Footnote Text Char"/>
    <w:basedOn w:val="DefaultParagraphFont"/>
    <w:link w:val="FootnoteText"/>
    <w:uiPriority w:val="99"/>
    <w:semiHidden/>
    <w:rsid w:val="00F5288E"/>
  </w:style>
  <w:style w:type="character" w:styleId="FootnoteReference">
    <w:name w:val="footnote reference"/>
    <w:basedOn w:val="DefaultParagraphFont"/>
    <w:uiPriority w:val="99"/>
    <w:semiHidden/>
    <w:unhideWhenUsed/>
    <w:locked/>
    <w:rsid w:val="00F5288E"/>
    <w:rPr>
      <w:vertAlign w:val="superscript"/>
    </w:rPr>
  </w:style>
  <w:style w:type="paragraph" w:customStyle="1" w:styleId="Paragraph">
    <w:name w:val="Paragraph"/>
    <w:basedOn w:val="Normal"/>
    <w:link w:val="ParagraphChar"/>
    <w:qFormat/>
    <w:rsid w:val="00276B89"/>
    <w:pPr>
      <w:spacing w:before="200"/>
      <w:jc w:val="both"/>
    </w:pPr>
    <w:rPr>
      <w:rFonts w:ascii="Times New Roman" w:hAnsi="Times New Roman"/>
    </w:rPr>
  </w:style>
  <w:style w:type="character" w:customStyle="1" w:styleId="ParagraphChar">
    <w:name w:val="Paragraph Char"/>
    <w:basedOn w:val="DefaultParagraphFont"/>
    <w:link w:val="Paragraph"/>
    <w:rsid w:val="00276B89"/>
    <w:rPr>
      <w:rFonts w:ascii="Times New Roman" w:hAnsi="Times New Roman"/>
      <w:sz w:val="22"/>
      <w:szCs w:val="22"/>
    </w:rPr>
  </w:style>
  <w:style w:type="paragraph" w:customStyle="1" w:styleId="Numbering">
    <w:name w:val="Numbering"/>
    <w:basedOn w:val="ListParagraph"/>
    <w:link w:val="NumberingChar"/>
    <w:qFormat/>
    <w:rsid w:val="00C9155D"/>
    <w:pPr>
      <w:numPr>
        <w:numId w:val="6"/>
      </w:numPr>
      <w:spacing w:before="200"/>
      <w:ind w:right="720"/>
      <w:contextualSpacing w:val="0"/>
    </w:pPr>
    <w:rPr>
      <w:rFonts w:ascii="Times New Roman" w:hAnsi="Times New Roman"/>
    </w:rPr>
  </w:style>
  <w:style w:type="character" w:customStyle="1" w:styleId="Leadline">
    <w:name w:val="Leadline"/>
    <w:basedOn w:val="DefaultParagraphFont"/>
    <w:rsid w:val="00C9155D"/>
    <w:rPr>
      <w:rFonts w:ascii="Times New Roman" w:hAnsi="Times New Roman" w:cs="Times New Roman" w:hint="default"/>
      <w:b/>
      <w:bCs/>
      <w:color w:val="auto"/>
    </w:rPr>
  </w:style>
  <w:style w:type="character" w:customStyle="1" w:styleId="ListParagraphChar">
    <w:name w:val="List Paragraph Char"/>
    <w:basedOn w:val="DefaultParagraphFont"/>
    <w:link w:val="ListParagraph"/>
    <w:uiPriority w:val="34"/>
    <w:rsid w:val="00C9155D"/>
    <w:rPr>
      <w:sz w:val="22"/>
      <w:szCs w:val="22"/>
    </w:rPr>
  </w:style>
  <w:style w:type="character" w:customStyle="1" w:styleId="NumberingChar">
    <w:name w:val="Numbering Char"/>
    <w:basedOn w:val="ListParagraphChar"/>
    <w:link w:val="Numbering"/>
    <w:rsid w:val="00C9155D"/>
  </w:style>
  <w:style w:type="character" w:styleId="FollowedHyperlink">
    <w:name w:val="FollowedHyperlink"/>
    <w:basedOn w:val="DefaultParagraphFont"/>
    <w:uiPriority w:val="99"/>
    <w:semiHidden/>
    <w:unhideWhenUsed/>
    <w:locked/>
    <w:rsid w:val="000C43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2975994">
      <w:bodyDiv w:val="1"/>
      <w:marLeft w:val="0"/>
      <w:marRight w:val="0"/>
      <w:marTop w:val="0"/>
      <w:marBottom w:val="0"/>
      <w:divBdr>
        <w:top w:val="none" w:sz="0" w:space="0" w:color="auto"/>
        <w:left w:val="none" w:sz="0" w:space="0" w:color="auto"/>
        <w:bottom w:val="none" w:sz="0" w:space="0" w:color="auto"/>
        <w:right w:val="none" w:sz="0" w:space="0" w:color="auto"/>
      </w:divBdr>
      <w:divsChild>
        <w:div w:id="298731972">
          <w:marLeft w:val="0"/>
          <w:marRight w:val="0"/>
          <w:marTop w:val="0"/>
          <w:marBottom w:val="0"/>
          <w:divBdr>
            <w:top w:val="none" w:sz="0" w:space="0" w:color="auto"/>
            <w:left w:val="single" w:sz="6" w:space="1" w:color="D6D6D6"/>
            <w:bottom w:val="none" w:sz="0" w:space="0" w:color="auto"/>
            <w:right w:val="single" w:sz="6" w:space="1" w:color="D6D6D6"/>
          </w:divBdr>
          <w:divsChild>
            <w:div w:id="866404044">
              <w:marLeft w:val="0"/>
              <w:marRight w:val="0"/>
              <w:marTop w:val="0"/>
              <w:marBottom w:val="0"/>
              <w:divBdr>
                <w:top w:val="none" w:sz="0" w:space="0" w:color="auto"/>
                <w:left w:val="none" w:sz="0" w:space="0" w:color="auto"/>
                <w:bottom w:val="none" w:sz="0" w:space="0" w:color="auto"/>
                <w:right w:val="none" w:sz="0" w:space="0" w:color="auto"/>
              </w:divBdr>
              <w:divsChild>
                <w:div w:id="19423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5327">
      <w:bodyDiv w:val="1"/>
      <w:marLeft w:val="0"/>
      <w:marRight w:val="0"/>
      <w:marTop w:val="0"/>
      <w:marBottom w:val="0"/>
      <w:divBdr>
        <w:top w:val="none" w:sz="0" w:space="0" w:color="auto"/>
        <w:left w:val="none" w:sz="0" w:space="0" w:color="auto"/>
        <w:bottom w:val="none" w:sz="0" w:space="0" w:color="auto"/>
        <w:right w:val="none" w:sz="0" w:space="0" w:color="auto"/>
      </w:divBdr>
    </w:div>
    <w:div w:id="419299951">
      <w:bodyDiv w:val="1"/>
      <w:marLeft w:val="0"/>
      <w:marRight w:val="0"/>
      <w:marTop w:val="0"/>
      <w:marBottom w:val="0"/>
      <w:divBdr>
        <w:top w:val="none" w:sz="0" w:space="0" w:color="auto"/>
        <w:left w:val="none" w:sz="0" w:space="0" w:color="auto"/>
        <w:bottom w:val="none" w:sz="0" w:space="0" w:color="auto"/>
        <w:right w:val="none" w:sz="0" w:space="0" w:color="auto"/>
      </w:divBdr>
    </w:div>
    <w:div w:id="1061901464">
      <w:bodyDiv w:val="1"/>
      <w:marLeft w:val="0"/>
      <w:marRight w:val="0"/>
      <w:marTop w:val="0"/>
      <w:marBottom w:val="0"/>
      <w:divBdr>
        <w:top w:val="none" w:sz="0" w:space="0" w:color="auto"/>
        <w:left w:val="none" w:sz="0" w:space="0" w:color="auto"/>
        <w:bottom w:val="none" w:sz="0" w:space="0" w:color="auto"/>
        <w:right w:val="none" w:sz="0" w:space="0" w:color="auto"/>
      </w:divBdr>
    </w:div>
    <w:div w:id="1162356428">
      <w:bodyDiv w:val="1"/>
      <w:marLeft w:val="0"/>
      <w:marRight w:val="0"/>
      <w:marTop w:val="0"/>
      <w:marBottom w:val="0"/>
      <w:divBdr>
        <w:top w:val="none" w:sz="0" w:space="0" w:color="auto"/>
        <w:left w:val="none" w:sz="0" w:space="0" w:color="auto"/>
        <w:bottom w:val="none" w:sz="0" w:space="0" w:color="auto"/>
        <w:right w:val="none" w:sz="0" w:space="0" w:color="auto"/>
      </w:divBdr>
    </w:div>
    <w:div w:id="1445687744">
      <w:bodyDiv w:val="1"/>
      <w:marLeft w:val="0"/>
      <w:marRight w:val="0"/>
      <w:marTop w:val="0"/>
      <w:marBottom w:val="0"/>
      <w:divBdr>
        <w:top w:val="none" w:sz="0" w:space="0" w:color="auto"/>
        <w:left w:val="none" w:sz="0" w:space="0" w:color="auto"/>
        <w:bottom w:val="none" w:sz="0" w:space="0" w:color="auto"/>
        <w:right w:val="none" w:sz="0" w:space="0" w:color="auto"/>
      </w:divBdr>
    </w:div>
    <w:div w:id="1609388798">
      <w:bodyDiv w:val="1"/>
      <w:marLeft w:val="0"/>
      <w:marRight w:val="0"/>
      <w:marTop w:val="0"/>
      <w:marBottom w:val="0"/>
      <w:divBdr>
        <w:top w:val="none" w:sz="0" w:space="0" w:color="auto"/>
        <w:left w:val="none" w:sz="0" w:space="0" w:color="auto"/>
        <w:bottom w:val="none" w:sz="0" w:space="0" w:color="auto"/>
        <w:right w:val="none" w:sz="0" w:space="0" w:color="auto"/>
      </w:divBdr>
      <w:divsChild>
        <w:div w:id="1776096096">
          <w:marLeft w:val="0"/>
          <w:marRight w:val="0"/>
          <w:marTop w:val="0"/>
          <w:marBottom w:val="0"/>
          <w:divBdr>
            <w:top w:val="none" w:sz="0" w:space="0" w:color="auto"/>
            <w:left w:val="none" w:sz="0" w:space="0" w:color="auto"/>
            <w:bottom w:val="none" w:sz="0" w:space="0" w:color="auto"/>
            <w:right w:val="none" w:sz="0" w:space="0" w:color="auto"/>
          </w:divBdr>
          <w:divsChild>
            <w:div w:id="724644687">
              <w:marLeft w:val="0"/>
              <w:marRight w:val="0"/>
              <w:marTop w:val="0"/>
              <w:marBottom w:val="0"/>
              <w:divBdr>
                <w:top w:val="none" w:sz="0" w:space="0" w:color="auto"/>
                <w:left w:val="none" w:sz="0" w:space="0" w:color="auto"/>
                <w:bottom w:val="none" w:sz="0" w:space="0" w:color="auto"/>
                <w:right w:val="none" w:sz="0" w:space="0" w:color="auto"/>
              </w:divBdr>
              <w:divsChild>
                <w:div w:id="1171792139">
                  <w:marLeft w:val="0"/>
                  <w:marRight w:val="0"/>
                  <w:marTop w:val="0"/>
                  <w:marBottom w:val="0"/>
                  <w:divBdr>
                    <w:top w:val="none" w:sz="0" w:space="0" w:color="auto"/>
                    <w:left w:val="none" w:sz="0" w:space="0" w:color="auto"/>
                    <w:bottom w:val="none" w:sz="0" w:space="0" w:color="auto"/>
                    <w:right w:val="none" w:sz="0" w:space="0" w:color="auto"/>
                  </w:divBdr>
                  <w:divsChild>
                    <w:div w:id="247230514">
                      <w:marLeft w:val="0"/>
                      <w:marRight w:val="0"/>
                      <w:marTop w:val="0"/>
                      <w:marBottom w:val="0"/>
                      <w:divBdr>
                        <w:top w:val="none" w:sz="0" w:space="0" w:color="auto"/>
                        <w:left w:val="none" w:sz="0" w:space="0" w:color="auto"/>
                        <w:bottom w:val="none" w:sz="0" w:space="0" w:color="auto"/>
                        <w:right w:val="none" w:sz="0" w:space="0" w:color="auto"/>
                      </w:divBdr>
                      <w:divsChild>
                        <w:div w:id="303973648">
                          <w:marLeft w:val="0"/>
                          <w:marRight w:val="0"/>
                          <w:marTop w:val="0"/>
                          <w:marBottom w:val="0"/>
                          <w:divBdr>
                            <w:top w:val="none" w:sz="0" w:space="0" w:color="auto"/>
                            <w:left w:val="none" w:sz="0" w:space="0" w:color="auto"/>
                            <w:bottom w:val="none" w:sz="0" w:space="0" w:color="auto"/>
                            <w:right w:val="none" w:sz="0" w:space="0" w:color="auto"/>
                          </w:divBdr>
                          <w:divsChild>
                            <w:div w:id="1583644454">
                              <w:marLeft w:val="0"/>
                              <w:marRight w:val="0"/>
                              <w:marTop w:val="0"/>
                              <w:marBottom w:val="0"/>
                              <w:divBdr>
                                <w:top w:val="none" w:sz="0" w:space="0" w:color="auto"/>
                                <w:left w:val="none" w:sz="0" w:space="0" w:color="auto"/>
                                <w:bottom w:val="none" w:sz="0" w:space="0" w:color="auto"/>
                                <w:right w:val="none" w:sz="0" w:space="0" w:color="auto"/>
                              </w:divBdr>
                              <w:divsChild>
                                <w:div w:id="718553682">
                                  <w:marLeft w:val="0"/>
                                  <w:marRight w:val="0"/>
                                  <w:marTop w:val="0"/>
                                  <w:marBottom w:val="0"/>
                                  <w:divBdr>
                                    <w:top w:val="none" w:sz="0" w:space="0" w:color="auto"/>
                                    <w:left w:val="none" w:sz="0" w:space="0" w:color="auto"/>
                                    <w:bottom w:val="none" w:sz="0" w:space="0" w:color="auto"/>
                                    <w:right w:val="none" w:sz="0" w:space="0" w:color="auto"/>
                                  </w:divBdr>
                                  <w:divsChild>
                                    <w:div w:id="89933196">
                                      <w:marLeft w:val="0"/>
                                      <w:marRight w:val="0"/>
                                      <w:marTop w:val="0"/>
                                      <w:marBottom w:val="0"/>
                                      <w:divBdr>
                                        <w:top w:val="none" w:sz="0" w:space="0" w:color="auto"/>
                                        <w:left w:val="none" w:sz="0" w:space="0" w:color="auto"/>
                                        <w:bottom w:val="none" w:sz="0" w:space="0" w:color="auto"/>
                                        <w:right w:val="none" w:sz="0" w:space="0" w:color="auto"/>
                                      </w:divBdr>
                                      <w:divsChild>
                                        <w:div w:id="2145465518">
                                          <w:marLeft w:val="0"/>
                                          <w:marRight w:val="0"/>
                                          <w:marTop w:val="0"/>
                                          <w:marBottom w:val="0"/>
                                          <w:divBdr>
                                            <w:top w:val="none" w:sz="0" w:space="0" w:color="auto"/>
                                            <w:left w:val="none" w:sz="0" w:space="0" w:color="auto"/>
                                            <w:bottom w:val="none" w:sz="0" w:space="0" w:color="auto"/>
                                            <w:right w:val="none" w:sz="0" w:space="0" w:color="auto"/>
                                          </w:divBdr>
                                          <w:divsChild>
                                            <w:div w:id="1258438303">
                                              <w:marLeft w:val="0"/>
                                              <w:marRight w:val="0"/>
                                              <w:marTop w:val="0"/>
                                              <w:marBottom w:val="0"/>
                                              <w:divBdr>
                                                <w:top w:val="none" w:sz="0" w:space="0" w:color="auto"/>
                                                <w:left w:val="none" w:sz="0" w:space="0" w:color="auto"/>
                                                <w:bottom w:val="none" w:sz="0" w:space="0" w:color="auto"/>
                                                <w:right w:val="none" w:sz="0" w:space="0" w:color="auto"/>
                                              </w:divBdr>
                                              <w:divsChild>
                                                <w:div w:id="1538658227">
                                                  <w:marLeft w:val="0"/>
                                                  <w:marRight w:val="0"/>
                                                  <w:marTop w:val="0"/>
                                                  <w:marBottom w:val="0"/>
                                                  <w:divBdr>
                                                    <w:top w:val="none" w:sz="0" w:space="0" w:color="auto"/>
                                                    <w:left w:val="none" w:sz="0" w:space="0" w:color="auto"/>
                                                    <w:bottom w:val="none" w:sz="0" w:space="0" w:color="auto"/>
                                                    <w:right w:val="none" w:sz="0" w:space="0" w:color="auto"/>
                                                  </w:divBdr>
                                                  <w:divsChild>
                                                    <w:div w:id="757408629">
                                                      <w:marLeft w:val="0"/>
                                                      <w:marRight w:val="0"/>
                                                      <w:marTop w:val="0"/>
                                                      <w:marBottom w:val="0"/>
                                                      <w:divBdr>
                                                        <w:top w:val="none" w:sz="0" w:space="0" w:color="auto"/>
                                                        <w:left w:val="none" w:sz="0" w:space="0" w:color="auto"/>
                                                        <w:bottom w:val="none" w:sz="0" w:space="0" w:color="auto"/>
                                                        <w:right w:val="none" w:sz="0" w:space="0" w:color="auto"/>
                                                      </w:divBdr>
                                                      <w:divsChild>
                                                        <w:div w:id="1467703154">
                                                          <w:marLeft w:val="0"/>
                                                          <w:marRight w:val="0"/>
                                                          <w:marTop w:val="0"/>
                                                          <w:marBottom w:val="0"/>
                                                          <w:divBdr>
                                                            <w:top w:val="none" w:sz="0" w:space="0" w:color="auto"/>
                                                            <w:left w:val="none" w:sz="0" w:space="0" w:color="auto"/>
                                                            <w:bottom w:val="none" w:sz="0" w:space="0" w:color="auto"/>
                                                            <w:right w:val="none" w:sz="0" w:space="0" w:color="auto"/>
                                                          </w:divBdr>
                                                          <w:divsChild>
                                                            <w:div w:id="64961025">
                                                              <w:marLeft w:val="0"/>
                                                              <w:marRight w:val="0"/>
                                                              <w:marTop w:val="0"/>
                                                              <w:marBottom w:val="0"/>
                                                              <w:divBdr>
                                                                <w:top w:val="none" w:sz="0" w:space="0" w:color="auto"/>
                                                                <w:left w:val="none" w:sz="0" w:space="0" w:color="auto"/>
                                                                <w:bottom w:val="none" w:sz="0" w:space="0" w:color="auto"/>
                                                                <w:right w:val="none" w:sz="0" w:space="0" w:color="auto"/>
                                                              </w:divBdr>
                                                              <w:divsChild>
                                                                <w:div w:id="917205120">
                                                                  <w:marLeft w:val="0"/>
                                                                  <w:marRight w:val="0"/>
                                                                  <w:marTop w:val="0"/>
                                                                  <w:marBottom w:val="0"/>
                                                                  <w:divBdr>
                                                                    <w:top w:val="none" w:sz="0" w:space="0" w:color="auto"/>
                                                                    <w:left w:val="none" w:sz="0" w:space="0" w:color="auto"/>
                                                                    <w:bottom w:val="none" w:sz="0" w:space="0" w:color="auto"/>
                                                                    <w:right w:val="none" w:sz="0" w:space="0" w:color="auto"/>
                                                                  </w:divBdr>
                                                                  <w:divsChild>
                                                                    <w:div w:id="744570222">
                                                                      <w:marLeft w:val="0"/>
                                                                      <w:marRight w:val="0"/>
                                                                      <w:marTop w:val="0"/>
                                                                      <w:marBottom w:val="0"/>
                                                                      <w:divBdr>
                                                                        <w:top w:val="none" w:sz="0" w:space="0" w:color="auto"/>
                                                                        <w:left w:val="none" w:sz="0" w:space="0" w:color="auto"/>
                                                                        <w:bottom w:val="none" w:sz="0" w:space="0" w:color="auto"/>
                                                                        <w:right w:val="none" w:sz="0" w:space="0" w:color="auto"/>
                                                                      </w:divBdr>
                                                                      <w:divsChild>
                                                                        <w:div w:id="2022539087">
                                                                          <w:marLeft w:val="0"/>
                                                                          <w:marRight w:val="0"/>
                                                                          <w:marTop w:val="0"/>
                                                                          <w:marBottom w:val="0"/>
                                                                          <w:divBdr>
                                                                            <w:top w:val="none" w:sz="0" w:space="0" w:color="auto"/>
                                                                            <w:left w:val="none" w:sz="0" w:space="0" w:color="auto"/>
                                                                            <w:bottom w:val="none" w:sz="0" w:space="0" w:color="auto"/>
                                                                            <w:right w:val="none" w:sz="0" w:space="0" w:color="auto"/>
                                                                          </w:divBdr>
                                                                          <w:divsChild>
                                                                            <w:div w:id="1228109395">
                                                                              <w:marLeft w:val="0"/>
                                                                              <w:marRight w:val="0"/>
                                                                              <w:marTop w:val="0"/>
                                                                              <w:marBottom w:val="0"/>
                                                                              <w:divBdr>
                                                                                <w:top w:val="none" w:sz="0" w:space="0" w:color="auto"/>
                                                                                <w:left w:val="none" w:sz="0" w:space="0" w:color="auto"/>
                                                                                <w:bottom w:val="none" w:sz="0" w:space="0" w:color="auto"/>
                                                                                <w:right w:val="none" w:sz="0" w:space="0" w:color="auto"/>
                                                                              </w:divBdr>
                                                                              <w:divsChild>
                                                                                <w:div w:id="1232424907">
                                                                                  <w:marLeft w:val="0"/>
                                                                                  <w:marRight w:val="0"/>
                                                                                  <w:marTop w:val="0"/>
                                                                                  <w:marBottom w:val="0"/>
                                                                                  <w:divBdr>
                                                                                    <w:top w:val="none" w:sz="0" w:space="0" w:color="auto"/>
                                                                                    <w:left w:val="none" w:sz="0" w:space="0" w:color="auto"/>
                                                                                    <w:bottom w:val="none" w:sz="0" w:space="0" w:color="auto"/>
                                                                                    <w:right w:val="none" w:sz="0" w:space="0" w:color="auto"/>
                                                                                  </w:divBdr>
                                                                                  <w:divsChild>
                                                                                    <w:div w:id="624654253">
                                                                                      <w:marLeft w:val="2304"/>
                                                                                      <w:marRight w:val="0"/>
                                                                                      <w:marTop w:val="0"/>
                                                                                      <w:marBottom w:val="0"/>
                                                                                      <w:divBdr>
                                                                                        <w:top w:val="none" w:sz="0" w:space="0" w:color="auto"/>
                                                                                        <w:left w:val="none" w:sz="0" w:space="0" w:color="auto"/>
                                                                                        <w:bottom w:val="none" w:sz="0" w:space="0" w:color="auto"/>
                                                                                        <w:right w:val="none" w:sz="0" w:space="0" w:color="auto"/>
                                                                                      </w:divBdr>
                                                                                      <w:divsChild>
                                                                                        <w:div w:id="1135219634">
                                                                                          <w:marLeft w:val="0"/>
                                                                                          <w:marRight w:val="0"/>
                                                                                          <w:marTop w:val="0"/>
                                                                                          <w:marBottom w:val="0"/>
                                                                                          <w:divBdr>
                                                                                            <w:top w:val="single" w:sz="4" w:space="0" w:color="D9D9D9"/>
                                                                                            <w:left w:val="none" w:sz="0" w:space="0" w:color="auto"/>
                                                                                            <w:bottom w:val="none" w:sz="0" w:space="0" w:color="auto"/>
                                                                                            <w:right w:val="none" w:sz="0" w:space="0" w:color="auto"/>
                                                                                          </w:divBdr>
                                                                                          <w:divsChild>
                                                                                            <w:div w:id="1836260606">
                                                                                              <w:marLeft w:val="0"/>
                                                                                              <w:marRight w:val="0"/>
                                                                                              <w:marTop w:val="0"/>
                                                                                              <w:marBottom w:val="0"/>
                                                                                              <w:divBdr>
                                                                                                <w:top w:val="none" w:sz="0" w:space="0" w:color="auto"/>
                                                                                                <w:left w:val="none" w:sz="0" w:space="0" w:color="auto"/>
                                                                                                <w:bottom w:val="none" w:sz="0" w:space="0" w:color="auto"/>
                                                                                                <w:right w:val="none" w:sz="0" w:space="0" w:color="auto"/>
                                                                                              </w:divBdr>
                                                                                              <w:divsChild>
                                                                                                <w:div w:id="1116947680">
                                                                                                  <w:marLeft w:val="0"/>
                                                                                                  <w:marRight w:val="0"/>
                                                                                                  <w:marTop w:val="0"/>
                                                                                                  <w:marBottom w:val="0"/>
                                                                                                  <w:divBdr>
                                                                                                    <w:top w:val="none" w:sz="0" w:space="0" w:color="auto"/>
                                                                                                    <w:left w:val="none" w:sz="0" w:space="0" w:color="auto"/>
                                                                                                    <w:bottom w:val="none" w:sz="0" w:space="0" w:color="auto"/>
                                                                                                    <w:right w:val="none" w:sz="0" w:space="0" w:color="auto"/>
                                                                                                  </w:divBdr>
                                                                                                  <w:divsChild>
                                                                                                    <w:div w:id="1405758015">
                                                                                                      <w:marLeft w:val="0"/>
                                                                                                      <w:marRight w:val="0"/>
                                                                                                      <w:marTop w:val="0"/>
                                                                                                      <w:marBottom w:val="0"/>
                                                                                                      <w:divBdr>
                                                                                                        <w:top w:val="none" w:sz="0" w:space="0" w:color="auto"/>
                                                                                                        <w:left w:val="none" w:sz="0" w:space="0" w:color="auto"/>
                                                                                                        <w:bottom w:val="none" w:sz="0" w:space="0" w:color="auto"/>
                                                                                                        <w:right w:val="none" w:sz="0" w:space="0" w:color="auto"/>
                                                                                                      </w:divBdr>
                                                                                                      <w:divsChild>
                                                                                                        <w:div w:id="429929291">
                                                                                                          <w:marLeft w:val="0"/>
                                                                                                          <w:marRight w:val="0"/>
                                                                                                          <w:marTop w:val="0"/>
                                                                                                          <w:marBottom w:val="0"/>
                                                                                                          <w:divBdr>
                                                                                                            <w:top w:val="none" w:sz="0" w:space="0" w:color="auto"/>
                                                                                                            <w:left w:val="none" w:sz="0" w:space="0" w:color="auto"/>
                                                                                                            <w:bottom w:val="none" w:sz="0" w:space="0" w:color="auto"/>
                                                                                                            <w:right w:val="none" w:sz="0" w:space="0" w:color="auto"/>
                                                                                                          </w:divBdr>
                                                                                                          <w:divsChild>
                                                                                                            <w:div w:id="265120980">
                                                                                                              <w:marLeft w:val="0"/>
                                                                                                              <w:marRight w:val="0"/>
                                                                                                              <w:marTop w:val="0"/>
                                                                                                              <w:marBottom w:val="0"/>
                                                                                                              <w:divBdr>
                                                                                                                <w:top w:val="none" w:sz="0" w:space="0" w:color="auto"/>
                                                                                                                <w:left w:val="none" w:sz="0" w:space="0" w:color="auto"/>
                                                                                                                <w:bottom w:val="none" w:sz="0" w:space="0" w:color="auto"/>
                                                                                                                <w:right w:val="none" w:sz="0" w:space="0" w:color="auto"/>
                                                                                                              </w:divBdr>
                                                                                                              <w:divsChild>
                                                                                                                <w:div w:id="311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382876">
      <w:bodyDiv w:val="1"/>
      <w:marLeft w:val="0"/>
      <w:marRight w:val="0"/>
      <w:marTop w:val="0"/>
      <w:marBottom w:val="0"/>
      <w:divBdr>
        <w:top w:val="none" w:sz="0" w:space="0" w:color="auto"/>
        <w:left w:val="none" w:sz="0" w:space="0" w:color="auto"/>
        <w:bottom w:val="none" w:sz="0" w:space="0" w:color="auto"/>
        <w:right w:val="none" w:sz="0" w:space="0" w:color="auto"/>
      </w:divBdr>
    </w:div>
    <w:div w:id="1961565678">
      <w:marLeft w:val="0"/>
      <w:marRight w:val="0"/>
      <w:marTop w:val="0"/>
      <w:marBottom w:val="0"/>
      <w:divBdr>
        <w:top w:val="none" w:sz="0" w:space="0" w:color="auto"/>
        <w:left w:val="none" w:sz="0" w:space="0" w:color="auto"/>
        <w:bottom w:val="none" w:sz="0" w:space="0" w:color="auto"/>
        <w:right w:val="none" w:sz="0" w:space="0" w:color="auto"/>
      </w:divBdr>
      <w:divsChild>
        <w:div w:id="1961565677">
          <w:marLeft w:val="0"/>
          <w:marRight w:val="0"/>
          <w:marTop w:val="100"/>
          <w:marBottom w:val="100"/>
          <w:divBdr>
            <w:top w:val="none" w:sz="0" w:space="0" w:color="auto"/>
            <w:left w:val="single" w:sz="6" w:space="23" w:color="A47B5F"/>
            <w:bottom w:val="single" w:sz="6" w:space="0" w:color="A47B5F"/>
            <w:right w:val="single" w:sz="6" w:space="23" w:color="A47B5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ng\MS\SMHP\Deliverables\MS%20SMH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ummary xmlns="bf593634-6c71-449e-b063-3cc911037aaa">This document, written by consultants hired by the Insurance Department, provides information about the essential health benefits requirements under the Affordable Care Act and how they apply to Arkansas.</Document_x0020_Summary>
    <Timeline_x0020_Item xmlns="bf593634-6c71-449e-b063-3cc911037aaa">Essential health benefits</Timeline_x0020_Item>
    <Document_x0020_Type xmlns="bf593634-6c71-449e-b063-3cc911037aaa">Arkansas Implementation</Document_x0020_Type>
    <BLR_x0020_Document xmlns="bf593634-6c71-449e-b063-3cc911037aaa">false</BLR_x0020_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AEE6BC950F71499F16CF7B437E6B5B" ma:contentTypeVersion="4" ma:contentTypeDescription="Create a new document." ma:contentTypeScope="" ma:versionID="56904201944a579cc60f9555d81b1f71">
  <xsd:schema xmlns:xsd="http://www.w3.org/2001/XMLSchema" xmlns:xs="http://www.w3.org/2001/XMLSchema" xmlns:p="http://schemas.microsoft.com/office/2006/metadata/properties" xmlns:ns2="bf593634-6c71-449e-b063-3cc911037aaa" targetNamespace="http://schemas.microsoft.com/office/2006/metadata/properties" ma:root="true" ma:fieldsID="6d7e56f7a95d5eb8b5ca7c0b48e77260" ns2:_="">
    <xsd:import namespace="bf593634-6c71-449e-b063-3cc911037aaa"/>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93634-6c71-449e-b063-3cc911037aaa"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AD77A-E5CE-4492-894A-DC49F8293E9C}"/>
</file>

<file path=customXml/itemProps2.xml><?xml version="1.0" encoding="utf-8"?>
<ds:datastoreItem xmlns:ds="http://schemas.openxmlformats.org/officeDocument/2006/customXml" ds:itemID="{9D29131D-2454-4493-B44C-4FC5811CA137}"/>
</file>

<file path=customXml/itemProps3.xml><?xml version="1.0" encoding="utf-8"?>
<ds:datastoreItem xmlns:ds="http://schemas.openxmlformats.org/officeDocument/2006/customXml" ds:itemID="{62347B96-82E1-45E5-91F5-001A848C5C82}"/>
</file>

<file path=customXml/itemProps4.xml><?xml version="1.0" encoding="utf-8"?>
<ds:datastoreItem xmlns:ds="http://schemas.openxmlformats.org/officeDocument/2006/customXml" ds:itemID="{C5DD576B-C671-4B1D-B06A-162DBF7DC8DA}"/>
</file>

<file path=docProps/app.xml><?xml version="1.0" encoding="utf-8"?>
<Properties xmlns="http://schemas.openxmlformats.org/officeDocument/2006/extended-properties" xmlns:vt="http://schemas.openxmlformats.org/officeDocument/2006/docPropsVTypes">
  <Template>MS SMHP Template.dotx</Template>
  <TotalTime>17</TotalTime>
  <Pages>18</Pages>
  <Words>5950</Words>
  <Characters>32906</Characters>
  <Application>Microsoft Office Word</Application>
  <DocSecurity>4</DocSecurity>
  <Lines>274</Lines>
  <Paragraphs>77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Mississippi Division of Medicaid</vt:lpstr>
      <vt:lpstr>Introduction</vt:lpstr>
      <vt:lpstr>Guidance on Essential Health Benefits</vt:lpstr>
      <vt:lpstr>    ACA Requirements</vt:lpstr>
      <vt:lpstr>    DOL Recommendations to HHS</vt:lpstr>
      <vt:lpstr>    IOM Recommendations to HHS</vt:lpstr>
      <vt:lpstr>    Additional Input</vt:lpstr>
      <vt:lpstr>    The “Benchmark” Approach</vt:lpstr>
      <vt:lpstr>    Effect on Current Health Plans</vt:lpstr>
      <vt:lpstr>    Effect on State Mandates</vt:lpstr>
      <vt:lpstr>    Updating the Benchmark</vt:lpstr>
      <vt:lpstr>    Coordination of Exchange and Medicaid Benefits</vt:lpstr>
      <vt:lpstr>Benefit Coordination and Essential Health Benefits</vt:lpstr>
      <vt:lpstr>Mandated Benefits</vt:lpstr>
      <vt:lpstr>    Essential Health Benefits Mandated by the ACA</vt:lpstr>
      <vt:lpstr>    Health Insurance Benefits Mandated by Arkansas State Law</vt:lpstr>
      <vt:lpstr>Analysis of Health Benefit Plans</vt:lpstr>
      <vt:lpstr>    Small Group Plans</vt:lpstr>
      <vt:lpstr>    State Employee Plans</vt:lpstr>
      <vt:lpstr>    Federal Employee Plans</vt:lpstr>
      <vt:lpstr>    HMO Plan</vt:lpstr>
    </vt:vector>
  </TitlesOfParts>
  <Company/>
  <LinksUpToDate>false</LinksUpToDate>
  <CharactersWithSpaces>38779</CharactersWithSpaces>
  <SharedDoc>false</SharedDoc>
  <HLinks>
    <vt:vector size="270" baseType="variant">
      <vt:variant>
        <vt:i4>1114160</vt:i4>
      </vt:variant>
      <vt:variant>
        <vt:i4>266</vt:i4>
      </vt:variant>
      <vt:variant>
        <vt:i4>0</vt:i4>
      </vt:variant>
      <vt:variant>
        <vt:i4>5</vt:i4>
      </vt:variant>
      <vt:variant>
        <vt:lpwstr/>
      </vt:variant>
      <vt:variant>
        <vt:lpwstr>_Toc272230337</vt:lpwstr>
      </vt:variant>
      <vt:variant>
        <vt:i4>1114160</vt:i4>
      </vt:variant>
      <vt:variant>
        <vt:i4>260</vt:i4>
      </vt:variant>
      <vt:variant>
        <vt:i4>0</vt:i4>
      </vt:variant>
      <vt:variant>
        <vt:i4>5</vt:i4>
      </vt:variant>
      <vt:variant>
        <vt:lpwstr/>
      </vt:variant>
      <vt:variant>
        <vt:lpwstr>_Toc272230336</vt:lpwstr>
      </vt:variant>
      <vt:variant>
        <vt:i4>1114160</vt:i4>
      </vt:variant>
      <vt:variant>
        <vt:i4>254</vt:i4>
      </vt:variant>
      <vt:variant>
        <vt:i4>0</vt:i4>
      </vt:variant>
      <vt:variant>
        <vt:i4>5</vt:i4>
      </vt:variant>
      <vt:variant>
        <vt:lpwstr/>
      </vt:variant>
      <vt:variant>
        <vt:lpwstr>_Toc272230335</vt:lpwstr>
      </vt:variant>
      <vt:variant>
        <vt:i4>1114160</vt:i4>
      </vt:variant>
      <vt:variant>
        <vt:i4>248</vt:i4>
      </vt:variant>
      <vt:variant>
        <vt:i4>0</vt:i4>
      </vt:variant>
      <vt:variant>
        <vt:i4>5</vt:i4>
      </vt:variant>
      <vt:variant>
        <vt:lpwstr/>
      </vt:variant>
      <vt:variant>
        <vt:lpwstr>_Toc272230334</vt:lpwstr>
      </vt:variant>
      <vt:variant>
        <vt:i4>1114160</vt:i4>
      </vt:variant>
      <vt:variant>
        <vt:i4>242</vt:i4>
      </vt:variant>
      <vt:variant>
        <vt:i4>0</vt:i4>
      </vt:variant>
      <vt:variant>
        <vt:i4>5</vt:i4>
      </vt:variant>
      <vt:variant>
        <vt:lpwstr/>
      </vt:variant>
      <vt:variant>
        <vt:lpwstr>_Toc272230333</vt:lpwstr>
      </vt:variant>
      <vt:variant>
        <vt:i4>1114160</vt:i4>
      </vt:variant>
      <vt:variant>
        <vt:i4>236</vt:i4>
      </vt:variant>
      <vt:variant>
        <vt:i4>0</vt:i4>
      </vt:variant>
      <vt:variant>
        <vt:i4>5</vt:i4>
      </vt:variant>
      <vt:variant>
        <vt:lpwstr/>
      </vt:variant>
      <vt:variant>
        <vt:lpwstr>_Toc272230332</vt:lpwstr>
      </vt:variant>
      <vt:variant>
        <vt:i4>1114160</vt:i4>
      </vt:variant>
      <vt:variant>
        <vt:i4>230</vt:i4>
      </vt:variant>
      <vt:variant>
        <vt:i4>0</vt:i4>
      </vt:variant>
      <vt:variant>
        <vt:i4>5</vt:i4>
      </vt:variant>
      <vt:variant>
        <vt:lpwstr/>
      </vt:variant>
      <vt:variant>
        <vt:lpwstr>_Toc272230331</vt:lpwstr>
      </vt:variant>
      <vt:variant>
        <vt:i4>1114160</vt:i4>
      </vt:variant>
      <vt:variant>
        <vt:i4>224</vt:i4>
      </vt:variant>
      <vt:variant>
        <vt:i4>0</vt:i4>
      </vt:variant>
      <vt:variant>
        <vt:i4>5</vt:i4>
      </vt:variant>
      <vt:variant>
        <vt:lpwstr/>
      </vt:variant>
      <vt:variant>
        <vt:lpwstr>_Toc272230330</vt:lpwstr>
      </vt:variant>
      <vt:variant>
        <vt:i4>1048624</vt:i4>
      </vt:variant>
      <vt:variant>
        <vt:i4>218</vt:i4>
      </vt:variant>
      <vt:variant>
        <vt:i4>0</vt:i4>
      </vt:variant>
      <vt:variant>
        <vt:i4>5</vt:i4>
      </vt:variant>
      <vt:variant>
        <vt:lpwstr/>
      </vt:variant>
      <vt:variant>
        <vt:lpwstr>_Toc272230329</vt:lpwstr>
      </vt:variant>
      <vt:variant>
        <vt:i4>1048624</vt:i4>
      </vt:variant>
      <vt:variant>
        <vt:i4>212</vt:i4>
      </vt:variant>
      <vt:variant>
        <vt:i4>0</vt:i4>
      </vt:variant>
      <vt:variant>
        <vt:i4>5</vt:i4>
      </vt:variant>
      <vt:variant>
        <vt:lpwstr/>
      </vt:variant>
      <vt:variant>
        <vt:lpwstr>_Toc272230328</vt:lpwstr>
      </vt:variant>
      <vt:variant>
        <vt:i4>1048624</vt:i4>
      </vt:variant>
      <vt:variant>
        <vt:i4>206</vt:i4>
      </vt:variant>
      <vt:variant>
        <vt:i4>0</vt:i4>
      </vt:variant>
      <vt:variant>
        <vt:i4>5</vt:i4>
      </vt:variant>
      <vt:variant>
        <vt:lpwstr/>
      </vt:variant>
      <vt:variant>
        <vt:lpwstr>_Toc272230327</vt:lpwstr>
      </vt:variant>
      <vt:variant>
        <vt:i4>1048624</vt:i4>
      </vt:variant>
      <vt:variant>
        <vt:i4>200</vt:i4>
      </vt:variant>
      <vt:variant>
        <vt:i4>0</vt:i4>
      </vt:variant>
      <vt:variant>
        <vt:i4>5</vt:i4>
      </vt:variant>
      <vt:variant>
        <vt:lpwstr/>
      </vt:variant>
      <vt:variant>
        <vt:lpwstr>_Toc272230326</vt:lpwstr>
      </vt:variant>
      <vt:variant>
        <vt:i4>1048624</vt:i4>
      </vt:variant>
      <vt:variant>
        <vt:i4>194</vt:i4>
      </vt:variant>
      <vt:variant>
        <vt:i4>0</vt:i4>
      </vt:variant>
      <vt:variant>
        <vt:i4>5</vt:i4>
      </vt:variant>
      <vt:variant>
        <vt:lpwstr/>
      </vt:variant>
      <vt:variant>
        <vt:lpwstr>_Toc272230325</vt:lpwstr>
      </vt:variant>
      <vt:variant>
        <vt:i4>1048624</vt:i4>
      </vt:variant>
      <vt:variant>
        <vt:i4>188</vt:i4>
      </vt:variant>
      <vt:variant>
        <vt:i4>0</vt:i4>
      </vt:variant>
      <vt:variant>
        <vt:i4>5</vt:i4>
      </vt:variant>
      <vt:variant>
        <vt:lpwstr/>
      </vt:variant>
      <vt:variant>
        <vt:lpwstr>_Toc272230324</vt:lpwstr>
      </vt:variant>
      <vt:variant>
        <vt:i4>1048624</vt:i4>
      </vt:variant>
      <vt:variant>
        <vt:i4>182</vt:i4>
      </vt:variant>
      <vt:variant>
        <vt:i4>0</vt:i4>
      </vt:variant>
      <vt:variant>
        <vt:i4>5</vt:i4>
      </vt:variant>
      <vt:variant>
        <vt:lpwstr/>
      </vt:variant>
      <vt:variant>
        <vt:lpwstr>_Toc272230323</vt:lpwstr>
      </vt:variant>
      <vt:variant>
        <vt:i4>1048624</vt:i4>
      </vt:variant>
      <vt:variant>
        <vt:i4>176</vt:i4>
      </vt:variant>
      <vt:variant>
        <vt:i4>0</vt:i4>
      </vt:variant>
      <vt:variant>
        <vt:i4>5</vt:i4>
      </vt:variant>
      <vt:variant>
        <vt:lpwstr/>
      </vt:variant>
      <vt:variant>
        <vt:lpwstr>_Toc272230322</vt:lpwstr>
      </vt:variant>
      <vt:variant>
        <vt:i4>1048624</vt:i4>
      </vt:variant>
      <vt:variant>
        <vt:i4>170</vt:i4>
      </vt:variant>
      <vt:variant>
        <vt:i4>0</vt:i4>
      </vt:variant>
      <vt:variant>
        <vt:i4>5</vt:i4>
      </vt:variant>
      <vt:variant>
        <vt:lpwstr/>
      </vt:variant>
      <vt:variant>
        <vt:lpwstr>_Toc272230321</vt:lpwstr>
      </vt:variant>
      <vt:variant>
        <vt:i4>1048624</vt:i4>
      </vt:variant>
      <vt:variant>
        <vt:i4>164</vt:i4>
      </vt:variant>
      <vt:variant>
        <vt:i4>0</vt:i4>
      </vt:variant>
      <vt:variant>
        <vt:i4>5</vt:i4>
      </vt:variant>
      <vt:variant>
        <vt:lpwstr/>
      </vt:variant>
      <vt:variant>
        <vt:lpwstr>_Toc272230320</vt:lpwstr>
      </vt:variant>
      <vt:variant>
        <vt:i4>1245232</vt:i4>
      </vt:variant>
      <vt:variant>
        <vt:i4>158</vt:i4>
      </vt:variant>
      <vt:variant>
        <vt:i4>0</vt:i4>
      </vt:variant>
      <vt:variant>
        <vt:i4>5</vt:i4>
      </vt:variant>
      <vt:variant>
        <vt:lpwstr/>
      </vt:variant>
      <vt:variant>
        <vt:lpwstr>_Toc272230319</vt:lpwstr>
      </vt:variant>
      <vt:variant>
        <vt:i4>1245232</vt:i4>
      </vt:variant>
      <vt:variant>
        <vt:i4>152</vt:i4>
      </vt:variant>
      <vt:variant>
        <vt:i4>0</vt:i4>
      </vt:variant>
      <vt:variant>
        <vt:i4>5</vt:i4>
      </vt:variant>
      <vt:variant>
        <vt:lpwstr/>
      </vt:variant>
      <vt:variant>
        <vt:lpwstr>_Toc272230318</vt:lpwstr>
      </vt:variant>
      <vt:variant>
        <vt:i4>1245232</vt:i4>
      </vt:variant>
      <vt:variant>
        <vt:i4>146</vt:i4>
      </vt:variant>
      <vt:variant>
        <vt:i4>0</vt:i4>
      </vt:variant>
      <vt:variant>
        <vt:i4>5</vt:i4>
      </vt:variant>
      <vt:variant>
        <vt:lpwstr/>
      </vt:variant>
      <vt:variant>
        <vt:lpwstr>_Toc272230317</vt:lpwstr>
      </vt:variant>
      <vt:variant>
        <vt:i4>1245232</vt:i4>
      </vt:variant>
      <vt:variant>
        <vt:i4>140</vt:i4>
      </vt:variant>
      <vt:variant>
        <vt:i4>0</vt:i4>
      </vt:variant>
      <vt:variant>
        <vt:i4>5</vt:i4>
      </vt:variant>
      <vt:variant>
        <vt:lpwstr/>
      </vt:variant>
      <vt:variant>
        <vt:lpwstr>_Toc272230316</vt:lpwstr>
      </vt:variant>
      <vt:variant>
        <vt:i4>1245232</vt:i4>
      </vt:variant>
      <vt:variant>
        <vt:i4>134</vt:i4>
      </vt:variant>
      <vt:variant>
        <vt:i4>0</vt:i4>
      </vt:variant>
      <vt:variant>
        <vt:i4>5</vt:i4>
      </vt:variant>
      <vt:variant>
        <vt:lpwstr/>
      </vt:variant>
      <vt:variant>
        <vt:lpwstr>_Toc272230315</vt:lpwstr>
      </vt:variant>
      <vt:variant>
        <vt:i4>1245232</vt:i4>
      </vt:variant>
      <vt:variant>
        <vt:i4>128</vt:i4>
      </vt:variant>
      <vt:variant>
        <vt:i4>0</vt:i4>
      </vt:variant>
      <vt:variant>
        <vt:i4>5</vt:i4>
      </vt:variant>
      <vt:variant>
        <vt:lpwstr/>
      </vt:variant>
      <vt:variant>
        <vt:lpwstr>_Toc272230314</vt:lpwstr>
      </vt:variant>
      <vt:variant>
        <vt:i4>1245232</vt:i4>
      </vt:variant>
      <vt:variant>
        <vt:i4>122</vt:i4>
      </vt:variant>
      <vt:variant>
        <vt:i4>0</vt:i4>
      </vt:variant>
      <vt:variant>
        <vt:i4>5</vt:i4>
      </vt:variant>
      <vt:variant>
        <vt:lpwstr/>
      </vt:variant>
      <vt:variant>
        <vt:lpwstr>_Toc272230313</vt:lpwstr>
      </vt:variant>
      <vt:variant>
        <vt:i4>1245232</vt:i4>
      </vt:variant>
      <vt:variant>
        <vt:i4>116</vt:i4>
      </vt:variant>
      <vt:variant>
        <vt:i4>0</vt:i4>
      </vt:variant>
      <vt:variant>
        <vt:i4>5</vt:i4>
      </vt:variant>
      <vt:variant>
        <vt:lpwstr/>
      </vt:variant>
      <vt:variant>
        <vt:lpwstr>_Toc272230312</vt:lpwstr>
      </vt:variant>
      <vt:variant>
        <vt:i4>1245232</vt:i4>
      </vt:variant>
      <vt:variant>
        <vt:i4>110</vt:i4>
      </vt:variant>
      <vt:variant>
        <vt:i4>0</vt:i4>
      </vt:variant>
      <vt:variant>
        <vt:i4>5</vt:i4>
      </vt:variant>
      <vt:variant>
        <vt:lpwstr/>
      </vt:variant>
      <vt:variant>
        <vt:lpwstr>_Toc272230311</vt:lpwstr>
      </vt:variant>
      <vt:variant>
        <vt:i4>1245232</vt:i4>
      </vt:variant>
      <vt:variant>
        <vt:i4>104</vt:i4>
      </vt:variant>
      <vt:variant>
        <vt:i4>0</vt:i4>
      </vt:variant>
      <vt:variant>
        <vt:i4>5</vt:i4>
      </vt:variant>
      <vt:variant>
        <vt:lpwstr/>
      </vt:variant>
      <vt:variant>
        <vt:lpwstr>_Toc272230310</vt:lpwstr>
      </vt:variant>
      <vt:variant>
        <vt:i4>1179696</vt:i4>
      </vt:variant>
      <vt:variant>
        <vt:i4>98</vt:i4>
      </vt:variant>
      <vt:variant>
        <vt:i4>0</vt:i4>
      </vt:variant>
      <vt:variant>
        <vt:i4>5</vt:i4>
      </vt:variant>
      <vt:variant>
        <vt:lpwstr/>
      </vt:variant>
      <vt:variant>
        <vt:lpwstr>_Toc272230309</vt:lpwstr>
      </vt:variant>
      <vt:variant>
        <vt:i4>1179696</vt:i4>
      </vt:variant>
      <vt:variant>
        <vt:i4>92</vt:i4>
      </vt:variant>
      <vt:variant>
        <vt:i4>0</vt:i4>
      </vt:variant>
      <vt:variant>
        <vt:i4>5</vt:i4>
      </vt:variant>
      <vt:variant>
        <vt:lpwstr/>
      </vt:variant>
      <vt:variant>
        <vt:lpwstr>_Toc272230308</vt:lpwstr>
      </vt:variant>
      <vt:variant>
        <vt:i4>1179696</vt:i4>
      </vt:variant>
      <vt:variant>
        <vt:i4>86</vt:i4>
      </vt:variant>
      <vt:variant>
        <vt:i4>0</vt:i4>
      </vt:variant>
      <vt:variant>
        <vt:i4>5</vt:i4>
      </vt:variant>
      <vt:variant>
        <vt:lpwstr/>
      </vt:variant>
      <vt:variant>
        <vt:lpwstr>_Toc272230307</vt:lpwstr>
      </vt:variant>
      <vt:variant>
        <vt:i4>1179696</vt:i4>
      </vt:variant>
      <vt:variant>
        <vt:i4>80</vt:i4>
      </vt:variant>
      <vt:variant>
        <vt:i4>0</vt:i4>
      </vt:variant>
      <vt:variant>
        <vt:i4>5</vt:i4>
      </vt:variant>
      <vt:variant>
        <vt:lpwstr/>
      </vt:variant>
      <vt:variant>
        <vt:lpwstr>_Toc272230306</vt:lpwstr>
      </vt:variant>
      <vt:variant>
        <vt:i4>1179696</vt:i4>
      </vt:variant>
      <vt:variant>
        <vt:i4>74</vt:i4>
      </vt:variant>
      <vt:variant>
        <vt:i4>0</vt:i4>
      </vt:variant>
      <vt:variant>
        <vt:i4>5</vt:i4>
      </vt:variant>
      <vt:variant>
        <vt:lpwstr/>
      </vt:variant>
      <vt:variant>
        <vt:lpwstr>_Toc272230305</vt:lpwstr>
      </vt:variant>
      <vt:variant>
        <vt:i4>1179696</vt:i4>
      </vt:variant>
      <vt:variant>
        <vt:i4>68</vt:i4>
      </vt:variant>
      <vt:variant>
        <vt:i4>0</vt:i4>
      </vt:variant>
      <vt:variant>
        <vt:i4>5</vt:i4>
      </vt:variant>
      <vt:variant>
        <vt:lpwstr/>
      </vt:variant>
      <vt:variant>
        <vt:lpwstr>_Toc272230304</vt:lpwstr>
      </vt:variant>
      <vt:variant>
        <vt:i4>1179696</vt:i4>
      </vt:variant>
      <vt:variant>
        <vt:i4>62</vt:i4>
      </vt:variant>
      <vt:variant>
        <vt:i4>0</vt:i4>
      </vt:variant>
      <vt:variant>
        <vt:i4>5</vt:i4>
      </vt:variant>
      <vt:variant>
        <vt:lpwstr/>
      </vt:variant>
      <vt:variant>
        <vt:lpwstr>_Toc272230303</vt:lpwstr>
      </vt:variant>
      <vt:variant>
        <vt:i4>1179696</vt:i4>
      </vt:variant>
      <vt:variant>
        <vt:i4>56</vt:i4>
      </vt:variant>
      <vt:variant>
        <vt:i4>0</vt:i4>
      </vt:variant>
      <vt:variant>
        <vt:i4>5</vt:i4>
      </vt:variant>
      <vt:variant>
        <vt:lpwstr/>
      </vt:variant>
      <vt:variant>
        <vt:lpwstr>_Toc272230302</vt:lpwstr>
      </vt:variant>
      <vt:variant>
        <vt:i4>1179696</vt:i4>
      </vt:variant>
      <vt:variant>
        <vt:i4>50</vt:i4>
      </vt:variant>
      <vt:variant>
        <vt:i4>0</vt:i4>
      </vt:variant>
      <vt:variant>
        <vt:i4>5</vt:i4>
      </vt:variant>
      <vt:variant>
        <vt:lpwstr/>
      </vt:variant>
      <vt:variant>
        <vt:lpwstr>_Toc272230301</vt:lpwstr>
      </vt:variant>
      <vt:variant>
        <vt:i4>1179696</vt:i4>
      </vt:variant>
      <vt:variant>
        <vt:i4>44</vt:i4>
      </vt:variant>
      <vt:variant>
        <vt:i4>0</vt:i4>
      </vt:variant>
      <vt:variant>
        <vt:i4>5</vt:i4>
      </vt:variant>
      <vt:variant>
        <vt:lpwstr/>
      </vt:variant>
      <vt:variant>
        <vt:lpwstr>_Toc272230300</vt:lpwstr>
      </vt:variant>
      <vt:variant>
        <vt:i4>1769521</vt:i4>
      </vt:variant>
      <vt:variant>
        <vt:i4>38</vt:i4>
      </vt:variant>
      <vt:variant>
        <vt:i4>0</vt:i4>
      </vt:variant>
      <vt:variant>
        <vt:i4>5</vt:i4>
      </vt:variant>
      <vt:variant>
        <vt:lpwstr/>
      </vt:variant>
      <vt:variant>
        <vt:lpwstr>_Toc272230299</vt:lpwstr>
      </vt:variant>
      <vt:variant>
        <vt:i4>1769521</vt:i4>
      </vt:variant>
      <vt:variant>
        <vt:i4>32</vt:i4>
      </vt:variant>
      <vt:variant>
        <vt:i4>0</vt:i4>
      </vt:variant>
      <vt:variant>
        <vt:i4>5</vt:i4>
      </vt:variant>
      <vt:variant>
        <vt:lpwstr/>
      </vt:variant>
      <vt:variant>
        <vt:lpwstr>_Toc272230298</vt:lpwstr>
      </vt:variant>
      <vt:variant>
        <vt:i4>1769521</vt:i4>
      </vt:variant>
      <vt:variant>
        <vt:i4>26</vt:i4>
      </vt:variant>
      <vt:variant>
        <vt:i4>0</vt:i4>
      </vt:variant>
      <vt:variant>
        <vt:i4>5</vt:i4>
      </vt:variant>
      <vt:variant>
        <vt:lpwstr/>
      </vt:variant>
      <vt:variant>
        <vt:lpwstr>_Toc272230297</vt:lpwstr>
      </vt:variant>
      <vt:variant>
        <vt:i4>1769521</vt:i4>
      </vt:variant>
      <vt:variant>
        <vt:i4>20</vt:i4>
      </vt:variant>
      <vt:variant>
        <vt:i4>0</vt:i4>
      </vt:variant>
      <vt:variant>
        <vt:i4>5</vt:i4>
      </vt:variant>
      <vt:variant>
        <vt:lpwstr/>
      </vt:variant>
      <vt:variant>
        <vt:lpwstr>_Toc272230296</vt:lpwstr>
      </vt:variant>
      <vt:variant>
        <vt:i4>1769521</vt:i4>
      </vt:variant>
      <vt:variant>
        <vt:i4>14</vt:i4>
      </vt:variant>
      <vt:variant>
        <vt:i4>0</vt:i4>
      </vt:variant>
      <vt:variant>
        <vt:i4>5</vt:i4>
      </vt:variant>
      <vt:variant>
        <vt:lpwstr/>
      </vt:variant>
      <vt:variant>
        <vt:lpwstr>_Toc272230295</vt:lpwstr>
      </vt:variant>
      <vt:variant>
        <vt:i4>1769521</vt:i4>
      </vt:variant>
      <vt:variant>
        <vt:i4>8</vt:i4>
      </vt:variant>
      <vt:variant>
        <vt:i4>0</vt:i4>
      </vt:variant>
      <vt:variant>
        <vt:i4>5</vt:i4>
      </vt:variant>
      <vt:variant>
        <vt:lpwstr/>
      </vt:variant>
      <vt:variant>
        <vt:lpwstr>_Toc272230294</vt:lpwstr>
      </vt:variant>
      <vt:variant>
        <vt:i4>1769521</vt:i4>
      </vt:variant>
      <vt:variant>
        <vt:i4>2</vt:i4>
      </vt:variant>
      <vt:variant>
        <vt:i4>0</vt:i4>
      </vt:variant>
      <vt:variant>
        <vt:i4>5</vt:i4>
      </vt:variant>
      <vt:variant>
        <vt:lpwstr/>
      </vt:variant>
      <vt:variant>
        <vt:lpwstr>_Toc272230293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 Issue Brief for Arkansas</dc:title>
  <dc:creator>jhellzen</dc:creator>
  <cp:lastModifiedBy>Nell Smith</cp:lastModifiedBy>
  <cp:revision>2</cp:revision>
  <cp:lastPrinted>2012-02-08T03:06:00Z</cp:lastPrinted>
  <dcterms:created xsi:type="dcterms:W3CDTF">2012-06-08T14:05:00Z</dcterms:created>
  <dcterms:modified xsi:type="dcterms:W3CDTF">2012-06-08T14:05:00Z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0x010100DBAEE6BC950F71499F16CF7B437E6B5B</vt:lpwstr>
  </property>
</Properties>
</file>